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B5" w:rsidRDefault="00EE1B91">
      <w:pPr>
        <w:bidi w:val="0"/>
        <w:spacing w:after="0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7864" w:type="dxa"/>
        <w:tblInd w:w="448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4347"/>
      </w:tblGrid>
      <w:tr w:rsidR="00C15AB5">
        <w:trPr>
          <w:trHeight w:val="2146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0" w:line="259" w:lineRule="auto"/>
              <w:ind w:left="0" w:right="1163" w:firstLine="0"/>
              <w:jc w:val="right"/>
            </w:pPr>
            <w:r>
              <w:rPr>
                <w:b/>
                <w:bCs/>
                <w:szCs w:val="28"/>
                <w:rtl/>
              </w:rPr>
              <w:t>תאריך: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</w:rPr>
              <w:t>12</w:t>
            </w:r>
            <w:r>
              <w:rPr>
                <w:b/>
                <w:bCs/>
                <w:szCs w:val="28"/>
                <w:rtl/>
              </w:rPr>
              <w:t>.</w:t>
            </w:r>
            <w:r>
              <w:rPr>
                <w:b/>
                <w:bCs/>
                <w:szCs w:val="28"/>
              </w:rPr>
              <w:t>12</w:t>
            </w:r>
            <w:r>
              <w:rPr>
                <w:b/>
                <w:bCs/>
                <w:szCs w:val="28"/>
                <w:rtl/>
              </w:rPr>
              <w:t>.</w:t>
            </w:r>
            <w:r>
              <w:rPr>
                <w:b/>
                <w:bCs/>
                <w:szCs w:val="28"/>
              </w:rPr>
              <w:t>2004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187" w:line="259" w:lineRule="auto"/>
              <w:ind w:left="0" w:right="152" w:firstLine="0"/>
            </w:pPr>
            <w:r>
              <w:rPr>
                <w:b/>
                <w:bCs/>
                <w:szCs w:val="28"/>
                <w:rtl/>
              </w:rPr>
              <w:t>בפני: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>כב' השופט מרדכי בן חיים, יו"ר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  <w:p w:rsidR="00C15AB5" w:rsidRDefault="00EE1B91">
            <w:pPr>
              <w:spacing w:after="0" w:line="398" w:lineRule="auto"/>
              <w:ind w:left="328" w:right="1492" w:firstLine="0"/>
              <w:jc w:val="right"/>
            </w:pPr>
            <w:r>
              <w:rPr>
                <w:b/>
                <w:bCs/>
                <w:szCs w:val="28"/>
                <w:rtl/>
              </w:rPr>
              <w:t xml:space="preserve">ד"ר ח. </w:t>
            </w:r>
            <w:proofErr w:type="spellStart"/>
            <w:r>
              <w:rPr>
                <w:b/>
                <w:bCs/>
                <w:szCs w:val="28"/>
                <w:rtl/>
              </w:rPr>
              <w:t>קכל</w:t>
            </w:r>
            <w:proofErr w:type="spellEnd"/>
            <w:r>
              <w:rPr>
                <w:b/>
                <w:bCs/>
                <w:szCs w:val="28"/>
                <w:rtl/>
              </w:rPr>
              <w:t>, חבר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>עו"ד נ. רמון, חברה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  <w:p w:rsidR="00C15AB5" w:rsidRDefault="00EE1B91">
            <w:pPr>
              <w:bidi w:val="0"/>
              <w:spacing w:after="92" w:line="259" w:lineRule="auto"/>
              <w:ind w:left="0" w:right="82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15AB5" w:rsidRDefault="00EE1B91">
            <w:pPr>
              <w:bidi w:val="0"/>
              <w:spacing w:after="0" w:line="259" w:lineRule="auto"/>
              <w:ind w:left="0" w:right="5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5AB5">
        <w:trPr>
          <w:trHeight w:val="477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bidi w:val="0"/>
              <w:spacing w:after="0" w:line="259" w:lineRule="auto"/>
              <w:ind w:left="148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tabs>
                <w:tab w:val="center" w:pos="246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bCs/>
                <w:szCs w:val="28"/>
                <w:rtl/>
              </w:rPr>
              <w:t>בעניין: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</w:r>
            <w:proofErr w:type="spellStart"/>
            <w:r w:rsidRPr="00B36D88">
              <w:rPr>
                <w:b/>
                <w:bCs/>
                <w:szCs w:val="28"/>
                <w:highlight w:val="black"/>
                <w:rtl/>
              </w:rPr>
              <w:t>שטאובר</w:t>
            </w:r>
            <w:proofErr w:type="spellEnd"/>
            <w:r w:rsidRPr="00B36D88">
              <w:rPr>
                <w:b/>
                <w:bCs/>
                <w:szCs w:val="28"/>
                <w:highlight w:val="black"/>
                <w:rtl/>
              </w:rPr>
              <w:t xml:space="preserve"> יוסף ובתיה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</w:tr>
      <w:tr w:rsidR="00C15AB5">
        <w:trPr>
          <w:trHeight w:val="48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0" w:line="259" w:lineRule="auto"/>
              <w:ind w:left="0" w:right="511" w:firstLine="0"/>
              <w:jc w:val="right"/>
            </w:pPr>
            <w:r>
              <w:rPr>
                <w:b/>
                <w:bCs/>
                <w:szCs w:val="28"/>
                <w:u w:val="single" w:color="000000"/>
                <w:rtl/>
              </w:rPr>
              <w:t>המערערים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tabs>
                <w:tab w:val="center" w:pos="2105"/>
                <w:tab w:val="center" w:pos="35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  <w:t>ע"י ב"כ עו"ד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  <w:t>גינזבורג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</w:tr>
      <w:tr w:rsidR="00C15AB5">
        <w:trPr>
          <w:trHeight w:val="48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bidi w:val="0"/>
              <w:spacing w:after="0" w:line="259" w:lineRule="auto"/>
              <w:ind w:left="148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tabs>
                <w:tab w:val="center" w:pos="3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  <w:t>נ  ג  ד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</w:tr>
      <w:tr w:rsidR="00C15AB5">
        <w:trPr>
          <w:trHeight w:val="482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bidi w:val="0"/>
              <w:spacing w:after="0" w:line="259" w:lineRule="auto"/>
              <w:ind w:left="148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tabs>
                <w:tab w:val="center" w:pos="22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  <w:t>קצין התגמולים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</w:tr>
      <w:tr w:rsidR="00C15AB5">
        <w:trPr>
          <w:trHeight w:val="467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0" w:line="259" w:lineRule="auto"/>
              <w:ind w:left="0" w:right="884" w:firstLine="0"/>
              <w:jc w:val="right"/>
            </w:pPr>
            <w:r>
              <w:rPr>
                <w:b/>
                <w:bCs/>
                <w:szCs w:val="28"/>
                <w:u w:val="single" w:color="000000"/>
                <w:rtl/>
              </w:rPr>
              <w:t>המשיב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tabs>
                <w:tab w:val="center" w:pos="2105"/>
                <w:tab w:val="center" w:pos="35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  <w:t>ע"י ב"כ עו"ד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ab/>
            </w:r>
            <w:proofErr w:type="spellStart"/>
            <w:r>
              <w:rPr>
                <w:b/>
                <w:bCs/>
                <w:szCs w:val="28"/>
                <w:rtl/>
              </w:rPr>
              <w:t>קפשוק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</w:tr>
    </w:tbl>
    <w:p w:rsidR="00C15AB5" w:rsidRDefault="00EE1B91">
      <w:pPr>
        <w:bidi w:val="0"/>
        <w:spacing w:after="211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107" w:line="259" w:lineRule="auto"/>
        <w:ind w:left="1" w:firstLine="0"/>
        <w:jc w:val="center"/>
      </w:pPr>
      <w:r>
        <w:rPr>
          <w:b/>
          <w:bCs/>
          <w:sz w:val="32"/>
          <w:szCs w:val="32"/>
          <w:u w:val="single" w:color="000000"/>
          <w:rtl/>
        </w:rPr>
        <w:t>החלטה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C15AB5" w:rsidRDefault="00EE1B91">
      <w:pPr>
        <w:bidi w:val="0"/>
        <w:spacing w:after="175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numPr>
          <w:ilvl w:val="0"/>
          <w:numId w:val="1"/>
        </w:numPr>
        <w:spacing w:after="187" w:line="259" w:lineRule="auto"/>
        <w:ind w:hanging="720"/>
        <w:jc w:val="left"/>
      </w:pPr>
      <w:r>
        <w:rPr>
          <w:b/>
          <w:bCs/>
          <w:szCs w:val="28"/>
          <w:u w:val="single" w:color="000000"/>
          <w:rtl/>
        </w:rPr>
        <w:t xml:space="preserve">הרקע אישיות </w:t>
      </w:r>
      <w:r>
        <w:rPr>
          <w:b/>
          <w:bCs/>
          <w:szCs w:val="28"/>
          <w:u w:val="single" w:color="000000"/>
          <w:rtl/>
        </w:rPr>
        <w:t>של המנוח וקרקע גידולו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numPr>
          <w:ilvl w:val="3"/>
          <w:numId w:val="3"/>
        </w:numPr>
        <w:spacing w:after="191" w:line="259" w:lineRule="auto"/>
        <w:ind w:right="-14" w:hanging="721"/>
      </w:pPr>
      <w:r>
        <w:rPr>
          <w:szCs w:val="28"/>
          <w:rtl/>
        </w:rPr>
        <w:t>ביום</w:t>
      </w:r>
      <w:r>
        <w:rPr>
          <w:szCs w:val="28"/>
          <w:rtl/>
        </w:rPr>
        <w:t xml:space="preserve"> </w:t>
      </w:r>
      <w:r>
        <w:rPr>
          <w:szCs w:val="28"/>
        </w:rPr>
        <w:t>15</w:t>
      </w:r>
      <w:r>
        <w:rPr>
          <w:szCs w:val="28"/>
          <w:rtl/>
        </w:rPr>
        <w:t>.</w:t>
      </w:r>
      <w:r>
        <w:rPr>
          <w:szCs w:val="28"/>
        </w:rPr>
        <w:t>3</w:t>
      </w:r>
      <w:r>
        <w:rPr>
          <w:szCs w:val="28"/>
          <w:rtl/>
        </w:rPr>
        <w:t>.</w:t>
      </w:r>
      <w:r>
        <w:rPr>
          <w:szCs w:val="28"/>
        </w:rPr>
        <w:t>95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ונמהר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 w:rsidRPr="00B36D88">
        <w:rPr>
          <w:szCs w:val="28"/>
          <w:highlight w:val="black"/>
          <w:rtl/>
        </w:rPr>
        <w:t>סרן</w:t>
      </w:r>
      <w:r w:rsidRPr="00B36D88">
        <w:rPr>
          <w:szCs w:val="28"/>
          <w:highlight w:val="black"/>
          <w:rtl/>
        </w:rPr>
        <w:t xml:space="preserve"> </w:t>
      </w:r>
      <w:r w:rsidRPr="00B36D88">
        <w:rPr>
          <w:szCs w:val="28"/>
          <w:highlight w:val="black"/>
          <w:rtl/>
        </w:rPr>
        <w:t>שי</w:t>
      </w:r>
      <w:r w:rsidRPr="00B36D88">
        <w:rPr>
          <w:szCs w:val="28"/>
          <w:highlight w:val="black"/>
          <w:rtl/>
        </w:rPr>
        <w:t xml:space="preserve"> </w:t>
      </w:r>
      <w:proofErr w:type="spellStart"/>
      <w:r w:rsidRPr="00B36D88">
        <w:rPr>
          <w:szCs w:val="28"/>
          <w:highlight w:val="black"/>
          <w:rtl/>
        </w:rPr>
        <w:t>שטאובר</w:t>
      </w:r>
      <w:proofErr w:type="spellEnd"/>
      <w:r w:rsidRPr="00B36D88">
        <w:rPr>
          <w:szCs w:val="28"/>
          <w:highlight w:val="black"/>
          <w:rtl/>
        </w:rPr>
        <w:t xml:space="preserve"> </w:t>
      </w:r>
      <w:r w:rsidRPr="00B36D88">
        <w:rPr>
          <w:szCs w:val="28"/>
          <w:highlight w:val="black"/>
          <w:rtl/>
        </w:rPr>
        <w:t>ז</w:t>
      </w:r>
      <w:r w:rsidRPr="00B36D88">
        <w:rPr>
          <w:szCs w:val="28"/>
          <w:highlight w:val="black"/>
          <w:rtl/>
        </w:rPr>
        <w:t>"</w:t>
      </w:r>
      <w:r w:rsidRPr="00B36D88">
        <w:rPr>
          <w:szCs w:val="28"/>
          <w:highlight w:val="black"/>
          <w:rtl/>
        </w:rPr>
        <w:t>ל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להלן</w:t>
      </w:r>
      <w:r>
        <w:rPr>
          <w:szCs w:val="28"/>
          <w:rtl/>
        </w:rPr>
        <w:t xml:space="preserve">: </w:t>
      </w:r>
    </w:p>
    <w:p w:rsidR="00C15AB5" w:rsidRDefault="00EE1B91">
      <w:pPr>
        <w:spacing w:after="117" w:line="259" w:lineRule="auto"/>
        <w:ind w:left="0" w:right="159" w:firstLine="0"/>
        <w:jc w:val="center"/>
      </w:pPr>
      <w:r>
        <w:rPr>
          <w:szCs w:val="28"/>
          <w:rtl/>
        </w:rPr>
        <w:t>"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") </w:t>
      </w:r>
      <w:r>
        <w:rPr>
          <w:szCs w:val="28"/>
          <w:rtl/>
        </w:rPr>
        <w:t>קץ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לחייו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ביריית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מאקדח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הוריו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הותיר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משפחה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המומים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ודואבים</w:t>
      </w:r>
      <w:r>
        <w:rPr>
          <w:szCs w:val="28"/>
          <w:rtl/>
        </w:rPr>
        <w:t xml:space="preserve">, </w:t>
      </w:r>
      <w:proofErr w:type="spellStart"/>
      <w:r>
        <w:rPr>
          <w:szCs w:val="28"/>
          <w:rtl/>
        </w:rPr>
        <w:t>זכרונות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מעיקים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בקרב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ובעיקר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סימן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שאלה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גדול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ונוקב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לגודל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וסיבת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שהביאה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צעיר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ומוכשר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לנקוט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צעד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3"/>
          <w:numId w:val="3"/>
        </w:numPr>
        <w:ind w:right="-14" w:hanging="721"/>
      </w:pP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שנפרשו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לאישיותו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גדל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וצמח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בחברה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דתית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בני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עקיבא</w:t>
      </w:r>
      <w:r>
        <w:rPr>
          <w:szCs w:val="28"/>
          <w:rtl/>
        </w:rPr>
        <w:t xml:space="preserve">), </w:t>
      </w:r>
      <w:r>
        <w:rPr>
          <w:szCs w:val="28"/>
          <w:rtl/>
        </w:rPr>
        <w:t>סיים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לימודיו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בישיבה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תיכונית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בהצטיינות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תואר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בהנדסת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מחשבים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במכללת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והתגייס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לצה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בשנת</w:t>
      </w:r>
      <w:r>
        <w:rPr>
          <w:szCs w:val="28"/>
          <w:rtl/>
        </w:rPr>
        <w:t xml:space="preserve"> </w:t>
      </w:r>
      <w:r>
        <w:rPr>
          <w:szCs w:val="28"/>
        </w:rPr>
        <w:t>1990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העתודה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האקדמית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3"/>
          <w:numId w:val="3"/>
        </w:numPr>
        <w:ind w:right="-14" w:hanging="721"/>
      </w:pPr>
      <w:r>
        <w:rPr>
          <w:szCs w:val="28"/>
          <w:rtl/>
        </w:rPr>
        <w:lastRenderedPageBreak/>
        <w:t>חבריו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הכירוהו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וליוו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לתקופת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השירות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הביאו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קווים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ולאופיו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חברו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הקרוב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 w:rsidRPr="00B36D88">
        <w:rPr>
          <w:szCs w:val="28"/>
          <w:highlight w:val="black"/>
          <w:rtl/>
        </w:rPr>
        <w:t>אריה</w:t>
      </w:r>
      <w:r w:rsidRPr="00B36D88">
        <w:rPr>
          <w:szCs w:val="28"/>
          <w:highlight w:val="black"/>
          <w:rtl/>
        </w:rPr>
        <w:t xml:space="preserve"> </w:t>
      </w:r>
      <w:r w:rsidRPr="00B36D88">
        <w:rPr>
          <w:szCs w:val="28"/>
          <w:highlight w:val="black"/>
          <w:rtl/>
        </w:rPr>
        <w:t>גלר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הצטיינותו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בלימודים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גרעה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מהשתלבותו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החברתית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הבולטת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העד</w:t>
      </w:r>
      <w:r>
        <w:rPr>
          <w:szCs w:val="28"/>
          <w:rtl/>
        </w:rPr>
        <w:t xml:space="preserve"> </w:t>
      </w:r>
      <w:r w:rsidRPr="00B36D88">
        <w:rPr>
          <w:szCs w:val="28"/>
          <w:highlight w:val="black"/>
          <w:rtl/>
        </w:rPr>
        <w:t>יניב</w:t>
      </w:r>
      <w:r w:rsidRPr="00B36D88">
        <w:rPr>
          <w:szCs w:val="28"/>
          <w:highlight w:val="black"/>
          <w:rtl/>
        </w:rPr>
        <w:t xml:space="preserve"> </w:t>
      </w:r>
      <w:r w:rsidRPr="00B36D88">
        <w:rPr>
          <w:szCs w:val="28"/>
          <w:highlight w:val="black"/>
          <w:rtl/>
        </w:rPr>
        <w:t>יקיר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אמנם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מוביל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החבורה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העדויות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התמונות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צפינו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מתוות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צעיר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משכיל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להתרועע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בקרב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הקבוצה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החברתית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השתייך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מפקדו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 w:rsidRPr="00B36D88">
        <w:rPr>
          <w:szCs w:val="28"/>
          <w:highlight w:val="black"/>
          <w:rtl/>
        </w:rPr>
        <w:t>(</w:t>
      </w:r>
      <w:r w:rsidRPr="00B36D88">
        <w:rPr>
          <w:szCs w:val="28"/>
          <w:highlight w:val="black"/>
          <w:rtl/>
        </w:rPr>
        <w:t>סא</w:t>
      </w:r>
      <w:r w:rsidRPr="00B36D88">
        <w:rPr>
          <w:szCs w:val="28"/>
          <w:highlight w:val="black"/>
          <w:rtl/>
        </w:rPr>
        <w:t>"</w:t>
      </w:r>
      <w:r w:rsidRPr="00B36D88">
        <w:rPr>
          <w:szCs w:val="28"/>
          <w:highlight w:val="black"/>
          <w:rtl/>
        </w:rPr>
        <w:t>ל</w:t>
      </w:r>
      <w:r w:rsidRPr="00B36D88">
        <w:rPr>
          <w:szCs w:val="28"/>
          <w:highlight w:val="black"/>
          <w:rtl/>
        </w:rPr>
        <w:t xml:space="preserve"> </w:t>
      </w:r>
      <w:r w:rsidRPr="00B36D88">
        <w:rPr>
          <w:szCs w:val="28"/>
          <w:highlight w:val="black"/>
          <w:rtl/>
        </w:rPr>
        <w:t>שוורץ</w:t>
      </w:r>
      <w:r w:rsidRPr="00B36D88">
        <w:rPr>
          <w:szCs w:val="28"/>
          <w:highlight w:val="black"/>
          <w:rtl/>
        </w:rPr>
        <w:t>)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הגדיר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כבעל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יכולת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מקצועית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טובה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איטי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ובלתי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יוזם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1"/>
        </w:numPr>
        <w:spacing w:after="187" w:line="259" w:lineRule="auto"/>
        <w:ind w:hanging="720"/>
        <w:jc w:val="left"/>
      </w:pPr>
      <w:r>
        <w:rPr>
          <w:b/>
          <w:bCs/>
          <w:szCs w:val="28"/>
          <w:u w:val="single" w:color="000000"/>
          <w:rtl/>
        </w:rPr>
        <w:t>עדויות לגבי תנאי השירות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817"/>
          <w:tab w:val="center" w:pos="3583"/>
        </w:tabs>
        <w:spacing w:after="18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szCs w:val="28"/>
        </w:rPr>
        <w:t>1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szCs w:val="28"/>
          <w:rtl/>
        </w:rPr>
        <w:t>בסוגיה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הובאו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בלתי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אחידות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4"/>
        </w:numPr>
        <w:spacing w:after="117" w:line="259" w:lineRule="auto"/>
        <w:ind w:right="-14" w:hanging="527"/>
      </w:pPr>
      <w:r w:rsidRPr="00B36D88">
        <w:rPr>
          <w:szCs w:val="28"/>
          <w:highlight w:val="black"/>
          <w:rtl/>
        </w:rPr>
        <w:t>גלר</w:t>
      </w:r>
      <w:r w:rsidRPr="00B36D88">
        <w:rPr>
          <w:szCs w:val="28"/>
          <w:highlight w:val="black"/>
          <w:rtl/>
        </w:rPr>
        <w:t xml:space="preserve"> </w:t>
      </w:r>
      <w:r w:rsidRPr="00B36D88">
        <w:rPr>
          <w:szCs w:val="28"/>
          <w:highlight w:val="black"/>
          <w:rtl/>
        </w:rPr>
        <w:t>ואביו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מס</w:t>
      </w:r>
      <w:r>
        <w:rPr>
          <w:szCs w:val="28"/>
          <w:rtl/>
        </w:rPr>
        <w:t xml:space="preserve">' </w:t>
      </w:r>
      <w:r>
        <w:rPr>
          <w:szCs w:val="28"/>
        </w:rPr>
        <w:t>1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שבפנינו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הפליגו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ביכולתו</w:t>
      </w:r>
      <w:r>
        <w:rPr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המקצועית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ותפקידו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המיוחד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והתובעני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מופקד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מחשבי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ווקס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</w:t>
      </w:r>
      <w:r>
        <w:rPr>
          <w:szCs w:val="28"/>
          <w:rtl/>
        </w:rPr>
        <w:t>"</w:t>
      </w:r>
      <w:r>
        <w:rPr>
          <w:szCs w:val="28"/>
          <w:rtl/>
        </w:rPr>
        <w:t>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האוויר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מערכות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אויוניקה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ובקרה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למטוסים</w:t>
      </w:r>
      <w:r>
        <w:rPr>
          <w:szCs w:val="28"/>
          <w:rtl/>
        </w:rPr>
        <w:t xml:space="preserve"> -</w:t>
      </w:r>
      <w:r>
        <w:rPr>
          <w:szCs w:val="28"/>
          <w:rtl/>
        </w:rPr>
        <w:t>להלן</w:t>
      </w:r>
      <w:r>
        <w:rPr>
          <w:szCs w:val="28"/>
          <w:rtl/>
        </w:rPr>
        <w:t>: "</w:t>
      </w:r>
      <w:r>
        <w:rPr>
          <w:szCs w:val="28"/>
          <w:rtl/>
        </w:rPr>
        <w:t>היחידה</w:t>
      </w:r>
      <w:r>
        <w:rPr>
          <w:szCs w:val="28"/>
          <w:rtl/>
        </w:rPr>
        <w:t xml:space="preserve">") </w:t>
      </w:r>
      <w:r>
        <w:rPr>
          <w:szCs w:val="28"/>
          <w:rtl/>
        </w:rPr>
        <w:t>והעריכו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כעתיר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ומטלות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ככזו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שנמשכה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מרובות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4"/>
        </w:numPr>
        <w:spacing w:after="13"/>
        <w:ind w:right="-14" w:hanging="527"/>
      </w:pPr>
      <w:r>
        <w:rPr>
          <w:szCs w:val="28"/>
          <w:rtl/>
        </w:rPr>
        <w:t>לעומת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 w:rsidRPr="006D3695">
        <w:rPr>
          <w:szCs w:val="28"/>
          <w:highlight w:val="black"/>
          <w:rtl/>
        </w:rPr>
        <w:t>שוורץ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לעבודה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(</w:t>
      </w:r>
      <w:r w:rsidRPr="006D3695">
        <w:rPr>
          <w:szCs w:val="28"/>
          <w:highlight w:val="black"/>
          <w:rtl/>
        </w:rPr>
        <w:t>לימור</w:t>
      </w:r>
      <w:r w:rsidRPr="006D3695">
        <w:rPr>
          <w:szCs w:val="28"/>
          <w:highlight w:val="black"/>
          <w:rtl/>
        </w:rPr>
        <w:t xml:space="preserve"> </w:t>
      </w:r>
      <w:r w:rsidRPr="006D3695">
        <w:rPr>
          <w:szCs w:val="28"/>
          <w:highlight w:val="black"/>
          <w:rtl/>
        </w:rPr>
        <w:t>אלבז</w:t>
      </w:r>
      <w:r w:rsidRPr="006D3695">
        <w:rPr>
          <w:szCs w:val="28"/>
          <w:highlight w:val="black"/>
          <w:rtl/>
        </w:rPr>
        <w:t>)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רגילות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למעט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חריגים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נמשכו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לשעה</w:t>
      </w:r>
      <w:r>
        <w:rPr>
          <w:szCs w:val="28"/>
          <w:rtl/>
        </w:rPr>
        <w:t xml:space="preserve"> </w:t>
      </w:r>
      <w:r>
        <w:rPr>
          <w:szCs w:val="28"/>
        </w:rPr>
        <w:t>17</w:t>
      </w:r>
      <w:r>
        <w:rPr>
          <w:szCs w:val="28"/>
          <w:rtl/>
        </w:rPr>
        <w:t>:</w:t>
      </w:r>
      <w:r>
        <w:rPr>
          <w:szCs w:val="28"/>
        </w:rPr>
        <w:t>00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2"/>
        <w:ind w:left="1433" w:right="-14"/>
      </w:pPr>
      <w:r>
        <w:rPr>
          <w:szCs w:val="28"/>
          <w:rtl/>
        </w:rPr>
        <w:lastRenderedPageBreak/>
        <w:t>לצורך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מוכנים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להגדיר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כאחראי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פרופיל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כנ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במשרעת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שיגרה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ועד</w:t>
      </w:r>
      <w:r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למאומצת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33" w:line="259" w:lineRule="auto"/>
        <w:ind w:left="674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bidi w:val="0"/>
        <w:spacing w:after="0" w:line="259" w:lineRule="auto"/>
        <w:ind w:left="674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76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87"/>
        <w:ind w:left="1440" w:right="-14" w:hanging="720"/>
      </w:pPr>
      <w:r>
        <w:rPr>
          <w:szCs w:val="28"/>
        </w:rPr>
        <w:t>1</w:t>
      </w:r>
      <w:r>
        <w:rPr>
          <w:szCs w:val="28"/>
          <w:rtl/>
        </w:rPr>
        <w:t>.</w:t>
      </w:r>
      <w:r>
        <w:rPr>
          <w:szCs w:val="28"/>
        </w:rPr>
        <w:t>3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בצד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ראיה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אובייקטיבית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ביקש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לשחררו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למיצער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להקל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מטלותיו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רישום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המתעדת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תלונה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גורם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פיקודי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מנשוא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</w:t>
      </w:r>
      <w:r>
        <w:rPr>
          <w:szCs w:val="28"/>
          <w:rtl/>
        </w:rPr>
        <w:t>/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תעוקה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המיוחסת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לתנאי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numPr>
          <w:ilvl w:val="0"/>
          <w:numId w:val="1"/>
        </w:numPr>
        <w:spacing w:after="187" w:line="259" w:lineRule="auto"/>
        <w:ind w:hanging="720"/>
        <w:jc w:val="left"/>
      </w:pPr>
      <w:r>
        <w:rPr>
          <w:b/>
          <w:bCs/>
          <w:szCs w:val="28"/>
          <w:u w:val="single" w:color="000000"/>
          <w:rtl/>
        </w:rPr>
        <w:t>נסיבות מחוץ למסגרת השרות</w:t>
      </w:r>
      <w:r>
        <w:rPr>
          <w:b/>
          <w:bCs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numPr>
          <w:ilvl w:val="4"/>
          <w:numId w:val="2"/>
        </w:numPr>
        <w:spacing w:after="2"/>
        <w:ind w:right="-14" w:hanging="361"/>
      </w:pPr>
      <w:r>
        <w:rPr>
          <w:szCs w:val="28"/>
          <w:rtl/>
        </w:rPr>
        <w:t>צוהר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נוסף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שנקרע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להווית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חייו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נוגעות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מצבים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קונפליקטואליים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סביב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נטייתו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לאדיקות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יתר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בנערותו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בעבותות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אהבה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גדולה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לחברתו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היחסים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ביניהם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הסתיימה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בשנת</w:t>
      </w:r>
      <w:r>
        <w:rPr>
          <w:szCs w:val="28"/>
          <w:rtl/>
        </w:rPr>
        <w:t xml:space="preserve"> </w:t>
      </w:r>
      <w:r>
        <w:rPr>
          <w:szCs w:val="28"/>
        </w:rPr>
        <w:t>1988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שהבינו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טרם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לנישואין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ומאידך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גיסא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סיבות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דתיות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מנעו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הקשר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8</w:t>
      </w:r>
      <w:r>
        <w:rPr>
          <w:szCs w:val="28"/>
          <w:rtl/>
        </w:rPr>
        <w:t>,</w:t>
      </w:r>
      <w:r>
        <w:rPr>
          <w:szCs w:val="28"/>
        </w:rPr>
        <w:t>7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</w:rPr>
        <w:t>23</w:t>
      </w:r>
      <w:r>
        <w:rPr>
          <w:szCs w:val="28"/>
          <w:rtl/>
        </w:rPr>
        <w:t>.</w:t>
      </w:r>
      <w:r>
        <w:rPr>
          <w:szCs w:val="28"/>
        </w:rPr>
        <w:t>5</w:t>
      </w:r>
      <w:r>
        <w:rPr>
          <w:szCs w:val="28"/>
          <w:rtl/>
        </w:rPr>
        <w:t>.</w:t>
      </w:r>
      <w:r>
        <w:rPr>
          <w:szCs w:val="28"/>
        </w:rPr>
        <w:t>99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רומנטית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נרקמה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ממאי</w:t>
      </w:r>
      <w:r>
        <w:rPr>
          <w:szCs w:val="28"/>
          <w:rtl/>
        </w:rPr>
        <w:t xml:space="preserve"> </w:t>
      </w:r>
      <w:r>
        <w:rPr>
          <w:szCs w:val="28"/>
        </w:rPr>
        <w:t>1994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האחרת</w:t>
      </w:r>
      <w:r>
        <w:rPr>
          <w:szCs w:val="28"/>
          <w:rtl/>
        </w:rPr>
        <w:t xml:space="preserve"> (</w:t>
      </w:r>
      <w:r w:rsidRPr="006D3695">
        <w:rPr>
          <w:szCs w:val="28"/>
          <w:highlight w:val="black"/>
          <w:rtl/>
        </w:rPr>
        <w:t>נאווה</w:t>
      </w:r>
      <w:r w:rsidRPr="006D3695">
        <w:rPr>
          <w:szCs w:val="28"/>
          <w:highlight w:val="black"/>
          <w:rtl/>
        </w:rPr>
        <w:t>)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הסתיימה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במפח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4"/>
          <w:numId w:val="2"/>
        </w:numPr>
        <w:spacing w:after="0"/>
        <w:ind w:right="-14" w:hanging="361"/>
      </w:pPr>
      <w:r>
        <w:rPr>
          <w:szCs w:val="28"/>
          <w:rtl/>
        </w:rPr>
        <w:lastRenderedPageBreak/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לסיום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היחסים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 w:rsidRPr="006D3695">
        <w:rPr>
          <w:szCs w:val="28"/>
          <w:highlight w:val="black"/>
          <w:rtl/>
        </w:rPr>
        <w:t>לנאווה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הבחין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הבעיה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נכנס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לדיכאון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שחייב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התייעצות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בפסיכיאטר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לדברי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הבחין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אצל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בדיכאון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8</w:t>
      </w:r>
      <w:r>
        <w:rPr>
          <w:szCs w:val="28"/>
          <w:rtl/>
        </w:rPr>
        <w:t xml:space="preserve">). </w:t>
      </w:r>
      <w:r>
        <w:rPr>
          <w:szCs w:val="28"/>
          <w:rtl/>
        </w:rPr>
        <w:t>גרסה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בצבעים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עזים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שנגבתה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חוקרי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</w:t>
      </w:r>
      <w:r>
        <w:rPr>
          <w:szCs w:val="28"/>
          <w:rtl/>
        </w:rPr>
        <w:t>"</w:t>
      </w:r>
      <w:r>
        <w:rPr>
          <w:szCs w:val="28"/>
          <w:rtl/>
        </w:rPr>
        <w:t>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ערב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מש</w:t>
      </w:r>
      <w:r>
        <w:rPr>
          <w:szCs w:val="28"/>
          <w:rtl/>
        </w:rPr>
        <w:t>/</w:t>
      </w:r>
      <w:r>
        <w:rPr>
          <w:szCs w:val="28"/>
        </w:rPr>
        <w:t>2</w:t>
      </w:r>
      <w:r>
        <w:rPr>
          <w:szCs w:val="28"/>
          <w:rtl/>
        </w:rPr>
        <w:t xml:space="preserve">), 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תוארה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אפיזודה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בהתפרצות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בכי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ותיסכול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 w:rsidRPr="006D3695">
        <w:rPr>
          <w:szCs w:val="28"/>
          <w:highlight w:val="black"/>
          <w:rtl/>
        </w:rPr>
        <w:t>נאווה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סיגל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לעצמו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השקפה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אדוקה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למקובל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הוריו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24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ואף</w:t>
      </w:r>
      <w:r>
        <w:rPr>
          <w:szCs w:val="28"/>
          <w:rtl/>
        </w:rPr>
        <w:t xml:space="preserve"> </w:t>
      </w:r>
      <w:r>
        <w:rPr>
          <w:b/>
          <w:bCs/>
          <w:szCs w:val="28"/>
          <w:rtl/>
        </w:rPr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C15AB5">
      <w:pPr>
        <w:sectPr w:rsidR="00C15AB5">
          <w:headerReference w:type="even" r:id="rId7"/>
          <w:headerReference w:type="default" r:id="rId8"/>
          <w:headerReference w:type="first" r:id="rId9"/>
          <w:pgSz w:w="11900" w:h="16840"/>
          <w:pgMar w:top="2864" w:right="1788" w:bottom="1637" w:left="1799" w:header="701" w:footer="720" w:gutter="0"/>
          <w:cols w:space="720"/>
          <w:bidi/>
        </w:sectPr>
      </w:pPr>
    </w:p>
    <w:p w:rsidR="00C15AB5" w:rsidRDefault="00EE1B91">
      <w:pPr>
        <w:spacing w:after="0" w:line="398" w:lineRule="auto"/>
        <w:ind w:left="904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2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0" w:line="259" w:lineRule="auto"/>
        <w:ind w:left="0" w:right="5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C15AB5">
      <w:pPr>
        <w:sectPr w:rsidR="00C15AB5">
          <w:type w:val="continuous"/>
          <w:pgSz w:w="11900" w:h="16840"/>
          <w:pgMar w:top="2864" w:right="1789" w:bottom="1792" w:left="5916" w:header="720" w:footer="720" w:gutter="0"/>
          <w:cols w:space="720"/>
          <w:bidi/>
        </w:sectPr>
      </w:pPr>
    </w:p>
    <w:p w:rsidR="00C15AB5" w:rsidRDefault="00EE1B91">
      <w:pPr>
        <w:ind w:left="1433" w:right="-14"/>
      </w:pPr>
      <w:r>
        <w:rPr>
          <w:szCs w:val="28"/>
          <w:rtl/>
        </w:rPr>
        <w:t>נקלע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למצוקה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אתית</w:t>
      </w:r>
      <w:r>
        <w:rPr>
          <w:szCs w:val="28"/>
          <w:rtl/>
        </w:rPr>
        <w:t>-</w:t>
      </w:r>
      <w:r>
        <w:rPr>
          <w:szCs w:val="28"/>
          <w:rtl/>
        </w:rPr>
        <w:t>דתית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בעיית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אוננות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27</w:t>
      </w:r>
      <w:r>
        <w:rPr>
          <w:szCs w:val="28"/>
          <w:rtl/>
        </w:rPr>
        <w:t>,</w:t>
      </w:r>
      <w:r>
        <w:rPr>
          <w:szCs w:val="28"/>
        </w:rPr>
        <w:t>26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אותה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ניסה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להדחיק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4"/>
          <w:numId w:val="2"/>
        </w:numPr>
        <w:spacing w:after="0" w:line="373" w:lineRule="auto"/>
        <w:ind w:right="-14" w:hanging="361"/>
      </w:pP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נזקק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ממושך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לליווי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צמוד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פסיכיאטרים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ופסיכולוגים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 (</w:t>
      </w:r>
      <w:proofErr w:type="spellStart"/>
      <w:r>
        <w:rPr>
          <w:szCs w:val="28"/>
          <w:rtl/>
        </w:rPr>
        <w:t>ברה</w:t>
      </w:r>
      <w:r>
        <w:rPr>
          <w:szCs w:val="28"/>
          <w:rtl/>
        </w:rPr>
        <w:t>"</w:t>
      </w:r>
      <w:r>
        <w:rPr>
          <w:szCs w:val="28"/>
          <w:rtl/>
        </w:rPr>
        <w:t>ן</w:t>
      </w:r>
      <w:proofErr w:type="spellEnd"/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אישפוזו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נקבע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פרופיל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נפשי</w:t>
      </w:r>
      <w:r>
        <w:rPr>
          <w:szCs w:val="28"/>
          <w:rtl/>
        </w:rPr>
        <w:t xml:space="preserve"> (</w:t>
      </w:r>
      <w:r>
        <w:rPr>
          <w:szCs w:val="28"/>
        </w:rPr>
        <w:t>21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ובשלב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מאוחר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יותר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למעשה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ערב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משרד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הרישוי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ספק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לכושרו</w:t>
      </w:r>
      <w:r>
        <w:rPr>
          <w:szCs w:val="28"/>
          <w:rtl/>
        </w:rPr>
        <w:t xml:space="preserve">   </w:t>
      </w:r>
      <w:r>
        <w:rPr>
          <w:szCs w:val="28"/>
          <w:rtl/>
        </w:rPr>
        <w:t>להחזיק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ברשיון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נהיגה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וזימנו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לבדיקות</w:t>
      </w:r>
      <w:r>
        <w:rPr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הסיבות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שפקד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נתגלעה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מחלוקת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בעקבות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החלטת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לשלול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ההכרה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נספה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כהגדרתו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משפחות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חיילים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שנספו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במערכה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תגמולים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ושיקום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תש</w:t>
      </w:r>
      <w:r>
        <w:rPr>
          <w:szCs w:val="28"/>
          <w:rtl/>
        </w:rPr>
        <w:t>"</w:t>
      </w:r>
      <w:r>
        <w:rPr>
          <w:szCs w:val="28"/>
          <w:rtl/>
        </w:rPr>
        <w:t>י</w:t>
      </w:r>
      <w:r>
        <w:rPr>
          <w:szCs w:val="28"/>
          <w:rtl/>
        </w:rPr>
        <w:t xml:space="preserve"> – </w:t>
      </w:r>
      <w:r>
        <w:rPr>
          <w:szCs w:val="28"/>
        </w:rPr>
        <w:t>1950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להלן</w:t>
      </w:r>
      <w:r>
        <w:rPr>
          <w:szCs w:val="28"/>
          <w:rtl/>
        </w:rPr>
        <w:t>: "</w:t>
      </w:r>
      <w:r>
        <w:rPr>
          <w:szCs w:val="28"/>
          <w:rtl/>
        </w:rPr>
        <w:t>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המשפחות</w:t>
      </w:r>
      <w:r>
        <w:rPr>
          <w:szCs w:val="28"/>
          <w:rtl/>
        </w:rPr>
        <w:t xml:space="preserve">") </w:t>
      </w:r>
      <w:r>
        <w:rPr>
          <w:szCs w:val="28"/>
          <w:rtl/>
        </w:rPr>
        <w:t>כמו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5"/>
        </w:numPr>
        <w:spacing w:after="187" w:line="259" w:lineRule="auto"/>
        <w:ind w:hanging="720"/>
        <w:jc w:val="left"/>
      </w:pPr>
      <w:r>
        <w:rPr>
          <w:b/>
          <w:bCs/>
          <w:szCs w:val="28"/>
          <w:u w:val="single" w:color="000000"/>
          <w:rtl/>
        </w:rPr>
        <w:lastRenderedPageBreak/>
        <w:t>נטל הראיה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87" w:line="259" w:lineRule="auto"/>
        <w:ind w:left="657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szCs w:val="28"/>
          <w:rtl/>
        </w:rPr>
        <w:t>בעלי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חלוקים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בשאלת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5"/>
        </w:numPr>
        <w:spacing w:after="116" w:line="259" w:lineRule="auto"/>
        <w:ind w:right="-14" w:hanging="721"/>
      </w:pP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נסמך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הוראות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>ב</w:t>
      </w:r>
      <w:r>
        <w:rPr>
          <w:szCs w:val="28"/>
          <w:rtl/>
        </w:rPr>
        <w:t xml:space="preserve">' </w:t>
      </w:r>
      <w:r>
        <w:rPr>
          <w:szCs w:val="28"/>
          <w:rtl/>
        </w:rPr>
        <w:t>לחוק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המשפחות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לפיו</w:t>
      </w:r>
      <w:r>
        <w:rPr>
          <w:szCs w:val="28"/>
          <w:rtl/>
        </w:rPr>
        <w:t>: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לעניין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כתוצאה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מחבלה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ממחלה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החמרת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שאירעו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רואים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הוכח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היפוכו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דבר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proofErr w:type="spellStart"/>
      <w:r>
        <w:rPr>
          <w:szCs w:val="28"/>
          <w:rtl/>
        </w:rPr>
        <w:t>לגירסת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נפטר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rFonts w:hint="cs"/>
          <w:szCs w:val="28"/>
          <w:rtl/>
        </w:rPr>
        <w:t xml:space="preserve"> </w:t>
      </w:r>
      <w:bookmarkStart w:id="0" w:name="_GoBack"/>
      <w:bookmarkEnd w:id="0"/>
      <w:r>
        <w:rPr>
          <w:szCs w:val="28"/>
          <w:rtl/>
        </w:rPr>
        <w:t>ומכאן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זכאי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לחסות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חזקת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המוות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76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numPr>
          <w:ilvl w:val="1"/>
          <w:numId w:val="5"/>
        </w:numPr>
        <w:ind w:right="-14" w:hanging="721"/>
      </w:pPr>
      <w:r>
        <w:rPr>
          <w:szCs w:val="28"/>
          <w:rtl/>
        </w:rPr>
        <w:t>המשיב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. </w:t>
      </w:r>
      <w:proofErr w:type="spellStart"/>
      <w:r>
        <w:rPr>
          <w:szCs w:val="28"/>
          <w:rtl/>
        </w:rPr>
        <w:t>לגירסתו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הרלבנטית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ממושכת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גלל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אלא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לראותו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השוהה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5"/>
        </w:numPr>
        <w:spacing w:after="0" w:line="400" w:lineRule="auto"/>
        <w:ind w:right="-14" w:hanging="721"/>
      </w:pPr>
      <w:r>
        <w:rPr>
          <w:szCs w:val="28"/>
          <w:rtl/>
        </w:rPr>
        <w:t>ב</w:t>
      </w:r>
      <w:r>
        <w:rPr>
          <w:szCs w:val="28"/>
          <w:rtl/>
        </w:rPr>
        <w:t>"</w:t>
      </w:r>
      <w:r>
        <w:rPr>
          <w:szCs w:val="28"/>
          <w:rtl/>
        </w:rPr>
        <w:t>כ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הביעה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בסיכומי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התשובה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הסתייגות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נוקבת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מעמדת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המשיב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לשיטתה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לראות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הכפויה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פרי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לשיטתה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תנאי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 - </w:t>
      </w:r>
      <w:r>
        <w:rPr>
          <w:szCs w:val="28"/>
          <w:rtl/>
        </w:rPr>
        <w:t>משום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חופשה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כיוון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המחוקק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בידינו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לקבל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שדרשה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</w:t>
      </w:r>
      <w:r>
        <w:rPr>
          <w:szCs w:val="28"/>
          <w:rtl/>
        </w:rPr>
        <w:t>"</w:t>
      </w:r>
      <w:r>
        <w:rPr>
          <w:szCs w:val="28"/>
          <w:rtl/>
        </w:rPr>
        <w:t>כ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לשון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הינה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ברורה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מבחין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שהייה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בחופשה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מילוי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 xml:space="preserve">". </w:t>
      </w:r>
      <w:r>
        <w:rPr>
          <w:szCs w:val="28"/>
          <w:rtl/>
        </w:rPr>
        <w:t>הגם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שמצב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מילוי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הוגדר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במפורש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הגדיר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המחוקק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הביטוי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השוהה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בחופשה</w:t>
      </w:r>
      <w:r>
        <w:rPr>
          <w:szCs w:val="28"/>
          <w:rtl/>
        </w:rPr>
        <w:t>" –  "</w:t>
      </w:r>
      <w:r>
        <w:rPr>
          <w:szCs w:val="28"/>
          <w:rtl/>
        </w:rPr>
        <w:t>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lastRenderedPageBreak/>
        <w:t>השוהה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מחוץ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במילוי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ולרבות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משוחרר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בדרכו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חזרה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השירות</w:t>
      </w:r>
      <w:r>
        <w:rPr>
          <w:szCs w:val="28"/>
          <w:rtl/>
        </w:rPr>
        <w:t>".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5"/>
        </w:numPr>
        <w:spacing w:after="4"/>
        <w:ind w:right="-14" w:hanging="721"/>
      </w:pP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נפטר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דהיינו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מחוץ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למחנה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שהייתו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חופשת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כרוכה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במילוי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</w:t>
      </w:r>
      <w:r>
        <w:rPr>
          <w:szCs w:val="28"/>
          <w:rtl/>
        </w:rPr>
        <w:t xml:space="preserve">; </w:t>
      </w:r>
      <w:r>
        <w:rPr>
          <w:szCs w:val="28"/>
          <w:rtl/>
        </w:rPr>
        <w:t>מכאן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נחשב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ששהה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בחופשה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בנסיבות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חזקת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המוות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הגלומה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בהוראות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>ב</w:t>
      </w:r>
      <w:r>
        <w:rPr>
          <w:szCs w:val="28"/>
          <w:rtl/>
        </w:rPr>
        <w:t xml:space="preserve">' </w:t>
      </w:r>
      <w:r>
        <w:rPr>
          <w:szCs w:val="28"/>
          <w:rtl/>
        </w:rPr>
        <w:t>לחוק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</w:t>
      </w:r>
      <w:r>
        <w:rPr>
          <w:szCs w:val="28"/>
          <w:rtl/>
        </w:rPr>
        <w:t>"</w:t>
      </w:r>
      <w:r>
        <w:rPr>
          <w:szCs w:val="28"/>
          <w:rtl/>
        </w:rPr>
        <w:t>כ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לחילופין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לתחולת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לחוק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כותרתו</w:t>
      </w:r>
      <w:r>
        <w:rPr>
          <w:szCs w:val="28"/>
          <w:rtl/>
        </w:rPr>
        <w:t xml:space="preserve">: </w:t>
      </w:r>
      <w:r>
        <w:rPr>
          <w:szCs w:val="28"/>
          <w:rtl/>
        </w:rPr>
        <w:t>מחלות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בחזקת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לצורך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סעיף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הבסיס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כדלקמן</w:t>
      </w:r>
      <w:r>
        <w:rPr>
          <w:szCs w:val="28"/>
          <w:rtl/>
        </w:rPr>
        <w:t>: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3"/>
          <w:numId w:val="6"/>
        </w:numPr>
        <w:spacing w:after="189" w:line="259" w:lineRule="auto"/>
        <w:ind w:left="2146" w:right="1808" w:hanging="720"/>
      </w:pPr>
      <w:r>
        <w:rPr>
          <w:szCs w:val="28"/>
          <w:rtl/>
        </w:rPr>
        <w:t>החייל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השירות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3"/>
          <w:numId w:val="6"/>
        </w:numPr>
        <w:ind w:left="2146" w:right="1808" w:hanging="720"/>
      </w:pPr>
      <w:r>
        <w:rPr>
          <w:szCs w:val="28"/>
          <w:rtl/>
        </w:rPr>
        <w:t>החייל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כתוצאה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תחילת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המחלה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0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7864" w:type="dxa"/>
        <w:tblInd w:w="448" w:type="dxa"/>
        <w:tblCellMar>
          <w:top w:w="6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3640"/>
        <w:gridCol w:w="708"/>
      </w:tblGrid>
      <w:tr w:rsidR="00C15AB5">
        <w:trPr>
          <w:trHeight w:val="2136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0" w:line="259" w:lineRule="auto"/>
              <w:ind w:left="0" w:right="1163" w:firstLine="0"/>
              <w:jc w:val="right"/>
            </w:pPr>
            <w:r>
              <w:rPr>
                <w:b/>
                <w:bCs/>
                <w:szCs w:val="28"/>
                <w:rtl/>
              </w:rPr>
              <w:t>תאריך: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</w:rPr>
              <w:t>12</w:t>
            </w:r>
            <w:r>
              <w:rPr>
                <w:b/>
                <w:bCs/>
                <w:szCs w:val="28"/>
                <w:rtl/>
              </w:rPr>
              <w:t>.</w:t>
            </w:r>
            <w:r>
              <w:rPr>
                <w:b/>
                <w:bCs/>
                <w:szCs w:val="28"/>
              </w:rPr>
              <w:t>12</w:t>
            </w:r>
            <w:r>
              <w:rPr>
                <w:b/>
                <w:bCs/>
                <w:szCs w:val="28"/>
                <w:rtl/>
              </w:rPr>
              <w:t>.</w:t>
            </w:r>
            <w:r>
              <w:rPr>
                <w:b/>
                <w:bCs/>
                <w:szCs w:val="28"/>
              </w:rPr>
              <w:t>2004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0" w:line="259" w:lineRule="auto"/>
              <w:ind w:left="0" w:right="152" w:firstLine="0"/>
              <w:jc w:val="right"/>
            </w:pPr>
            <w:r>
              <w:rPr>
                <w:b/>
                <w:bCs/>
                <w:szCs w:val="28"/>
                <w:rtl/>
              </w:rPr>
              <w:t>כב' השופט מרדכי בן חיים, יו"ר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 xml:space="preserve">ד"ר ח. </w:t>
            </w:r>
            <w:proofErr w:type="spellStart"/>
            <w:r>
              <w:rPr>
                <w:b/>
                <w:bCs/>
                <w:szCs w:val="28"/>
                <w:rtl/>
              </w:rPr>
              <w:t>קכל</w:t>
            </w:r>
            <w:proofErr w:type="spellEnd"/>
            <w:r>
              <w:rPr>
                <w:b/>
                <w:bCs/>
                <w:szCs w:val="28"/>
                <w:rtl/>
              </w:rPr>
              <w:t>, חבר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  <w:r>
              <w:rPr>
                <w:b/>
                <w:bCs/>
                <w:szCs w:val="28"/>
                <w:rtl/>
              </w:rPr>
              <w:t>עו"ד נ. רמון, חברה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15AB5" w:rsidRDefault="00EE1B91">
            <w:pPr>
              <w:spacing w:after="1004" w:line="259" w:lineRule="auto"/>
              <w:ind w:left="0" w:right="142" w:firstLine="0"/>
            </w:pPr>
            <w:r>
              <w:rPr>
                <w:b/>
                <w:bCs/>
                <w:szCs w:val="28"/>
                <w:rtl/>
              </w:rPr>
              <w:t>בפני: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rtl/>
              </w:rPr>
              <w:t xml:space="preserve"> </w:t>
            </w:r>
          </w:p>
          <w:p w:rsidR="00C15AB5" w:rsidRDefault="00EE1B91">
            <w:pPr>
              <w:bidi w:val="0"/>
              <w:spacing w:after="92" w:line="259" w:lineRule="auto"/>
              <w:ind w:left="0" w:right="82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15AB5" w:rsidRDefault="00EE1B91">
            <w:pPr>
              <w:bidi w:val="0"/>
              <w:spacing w:after="0" w:line="259" w:lineRule="auto"/>
              <w:ind w:left="0" w:right="5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15AB5" w:rsidRDefault="00EE1B91">
      <w:pPr>
        <w:numPr>
          <w:ilvl w:val="3"/>
          <w:numId w:val="6"/>
        </w:numPr>
        <w:spacing w:after="189" w:line="259" w:lineRule="auto"/>
        <w:ind w:left="2146" w:right="1808" w:hanging="720"/>
      </w:pPr>
      <w:r>
        <w:rPr>
          <w:szCs w:val="28"/>
          <w:rtl/>
        </w:rPr>
        <w:t>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להניח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5"/>
        </w:numPr>
        <w:ind w:right="-14" w:hanging="721"/>
      </w:pP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מתקיימים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הבסיס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הראשונות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השלישית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נחה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התיבה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להניח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מגלמת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ראיה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נמוך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הנדרש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>ב</w:t>
      </w:r>
      <w:r>
        <w:rPr>
          <w:szCs w:val="28"/>
          <w:rtl/>
        </w:rPr>
        <w:t xml:space="preserve">' </w:t>
      </w:r>
      <w:r>
        <w:rPr>
          <w:szCs w:val="28"/>
          <w:rtl/>
        </w:rPr>
        <w:t>לחוק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ב</w:t>
      </w:r>
      <w:r>
        <w:rPr>
          <w:szCs w:val="28"/>
          <w:rtl/>
        </w:rPr>
        <w:t>-</w:t>
      </w:r>
      <w:r>
        <w:rPr>
          <w:szCs w:val="28"/>
          <w:rtl/>
        </w:rPr>
        <w:t>ע</w:t>
      </w:r>
      <w:r>
        <w:rPr>
          <w:szCs w:val="28"/>
          <w:rtl/>
        </w:rPr>
        <w:t>.</w:t>
      </w:r>
      <w:r>
        <w:rPr>
          <w:szCs w:val="28"/>
          <w:rtl/>
        </w:rPr>
        <w:t>א</w:t>
      </w:r>
      <w:r>
        <w:rPr>
          <w:szCs w:val="28"/>
          <w:rtl/>
        </w:rPr>
        <w:t xml:space="preserve">. </w:t>
      </w:r>
      <w:r>
        <w:rPr>
          <w:szCs w:val="28"/>
        </w:rPr>
        <w:t>555</w:t>
      </w:r>
      <w:r>
        <w:rPr>
          <w:szCs w:val="28"/>
          <w:rtl/>
        </w:rPr>
        <w:t>/</w:t>
      </w:r>
      <w:r>
        <w:rPr>
          <w:szCs w:val="28"/>
        </w:rPr>
        <w:t>92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עזבון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</w:t>
      </w:r>
      <w:r>
        <w:rPr>
          <w:szCs w:val="28"/>
          <w:rtl/>
        </w:rPr>
        <w:t xml:space="preserve">. </w:t>
      </w:r>
      <w:proofErr w:type="spellStart"/>
      <w:r>
        <w:rPr>
          <w:szCs w:val="28"/>
          <w:rtl/>
        </w:rPr>
        <w:t>ק</w:t>
      </w:r>
      <w:r>
        <w:rPr>
          <w:szCs w:val="28"/>
          <w:rtl/>
        </w:rPr>
        <w:t>"</w:t>
      </w:r>
      <w:r>
        <w:rPr>
          <w:szCs w:val="28"/>
          <w:rtl/>
        </w:rPr>
        <w:t>ת</w:t>
      </w:r>
      <w:proofErr w:type="spellEnd"/>
      <w:r>
        <w:rPr>
          <w:szCs w:val="28"/>
          <w:rtl/>
        </w:rPr>
        <w:t xml:space="preserve"> (</w:t>
      </w:r>
      <w:r>
        <w:rPr>
          <w:szCs w:val="28"/>
          <w:rtl/>
        </w:rPr>
        <w:t>דינים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עליון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</w:t>
      </w:r>
      <w:r>
        <w:rPr>
          <w:szCs w:val="28"/>
          <w:rtl/>
        </w:rPr>
        <w:t>"</w:t>
      </w:r>
      <w:r>
        <w:rPr>
          <w:szCs w:val="28"/>
          <w:rtl/>
        </w:rPr>
        <w:t>ה</w:t>
      </w:r>
      <w:r>
        <w:rPr>
          <w:szCs w:val="28"/>
          <w:rtl/>
        </w:rPr>
        <w:t xml:space="preserve"> </w:t>
      </w:r>
      <w:r>
        <w:rPr>
          <w:szCs w:val="28"/>
        </w:rPr>
        <w:t>470</w:t>
      </w:r>
      <w:r>
        <w:rPr>
          <w:szCs w:val="28"/>
          <w:rtl/>
        </w:rPr>
        <w:t xml:space="preserve">)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קבעה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הרוב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לקבוע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סטנדרטים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חמורים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במיוחד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לחובת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ההוכחה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האמורה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בסעיף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>ב</w:t>
      </w:r>
      <w:r>
        <w:rPr>
          <w:szCs w:val="28"/>
          <w:rtl/>
        </w:rPr>
        <w:t xml:space="preserve">); </w:t>
      </w:r>
      <w:r>
        <w:rPr>
          <w:szCs w:val="28"/>
          <w:rtl/>
        </w:rPr>
        <w:t>מכאן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למדים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הנוסח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המרוכך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המחוקק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לחוק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להניח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אינו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lastRenderedPageBreak/>
        <w:t>מחייב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במשקל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נמוך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רגליים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לדבר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לאור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מסקנה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סברנו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ראוי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שעמדה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מושכלת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תגובש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למכלול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האירועים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הנקשרים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לפריצת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הביאה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בסופו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למותו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5"/>
        </w:numPr>
        <w:spacing w:after="187" w:line="259" w:lineRule="auto"/>
        <w:ind w:hanging="720"/>
        <w:jc w:val="left"/>
      </w:pPr>
      <w:r>
        <w:rPr>
          <w:b/>
          <w:bCs/>
          <w:szCs w:val="28"/>
          <w:u w:val="single" w:color="000000"/>
          <w:rtl/>
        </w:rPr>
        <w:t xml:space="preserve">חוו"ד </w:t>
      </w:r>
      <w:r>
        <w:rPr>
          <w:b/>
          <w:bCs/>
          <w:szCs w:val="28"/>
          <w:u w:val="single" w:color="000000"/>
          <w:rtl/>
        </w:rPr>
        <w:t>רפואיות ועדויות רפואיות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5"/>
        </w:numPr>
        <w:spacing w:after="117" w:line="259" w:lineRule="auto"/>
        <w:ind w:right="-14" w:hanging="721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</w:t>
      </w:r>
      <w:r>
        <w:rPr>
          <w:szCs w:val="28"/>
          <w:rtl/>
        </w:rPr>
        <w:t xml:space="preserve">. </w:t>
      </w:r>
      <w:proofErr w:type="spellStart"/>
      <w:r>
        <w:rPr>
          <w:szCs w:val="28"/>
          <w:rtl/>
        </w:rPr>
        <w:t>קריצ</w:t>
      </w:r>
      <w:r>
        <w:rPr>
          <w:szCs w:val="28"/>
          <w:rtl/>
        </w:rPr>
        <w:t>'</w:t>
      </w:r>
      <w:r>
        <w:rPr>
          <w:szCs w:val="28"/>
          <w:rtl/>
        </w:rPr>
        <w:t>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שנתן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מומחה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מטעם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דווח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מיוחדים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הקשורים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לתנאי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הטרואנמנזה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מפי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שתועדה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בסיכום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הגדיר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</w:t>
      </w:r>
      <w:r>
        <w:rPr>
          <w:szCs w:val="28"/>
          <w:rtl/>
        </w:rPr>
        <w:t>'</w:t>
      </w:r>
      <w:r>
        <w:rPr>
          <w:szCs w:val="28"/>
          <w:rtl/>
        </w:rPr>
        <w:t>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אישיותו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כבעלת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מאפיינים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סכיזואידיים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</w:t>
      </w:r>
      <w:r>
        <w:rPr>
          <w:szCs w:val="28"/>
          <w:rtl/>
        </w:rPr>
        <w:t>'</w:t>
      </w:r>
      <w:r>
        <w:rPr>
          <w:szCs w:val="28"/>
          <w:rtl/>
        </w:rPr>
        <w:t>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סקר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תולדות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אישפוזו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והתרשמות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רופאיו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סכיזופרנית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ממושכת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החמרה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אקוטית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שנקשרה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לשיטתו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המומחה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לאירוע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שידוך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שסוכל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קצר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לחתונה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76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ind w:left="1494" w:right="-14" w:hanging="68"/>
      </w:pP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בנתון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</w:t>
      </w:r>
      <w:r>
        <w:rPr>
          <w:szCs w:val="28"/>
          <w:rtl/>
        </w:rPr>
        <w:t>'</w:t>
      </w:r>
      <w:r>
        <w:rPr>
          <w:szCs w:val="28"/>
          <w:rtl/>
        </w:rPr>
        <w:t>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ההסתברות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תנאי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1"/>
          <w:numId w:val="5"/>
        </w:numPr>
        <w:spacing w:after="117" w:line="259" w:lineRule="auto"/>
        <w:ind w:right="-14" w:hanging="721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גרצ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מטעם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הירבה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להתייחס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proofErr w:type="spellStart"/>
      <w:r>
        <w:rPr>
          <w:szCs w:val="28"/>
          <w:rtl/>
        </w:rPr>
        <w:t>בחוו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לפרופיל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האחראית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והתובענית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גרצ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הושפעה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מכישלון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proofErr w:type="spellStart"/>
      <w:r>
        <w:rPr>
          <w:szCs w:val="28"/>
          <w:rtl/>
        </w:rPr>
        <w:t>בחוו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הארוכה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והמפורטת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מוצבסקי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הוחזר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לשרות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בלתי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כשיר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ובהגדרה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משתקם</w:t>
      </w:r>
      <w:r>
        <w:rPr>
          <w:szCs w:val="28"/>
          <w:rtl/>
        </w:rPr>
        <w:t xml:space="preserve">"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lastRenderedPageBreak/>
        <w:t>וחיווה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יתכן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שבכך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נפגע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דימויו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העצמי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העמקת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הדיכאון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להלן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חיווה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החזרתו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מוקדמת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ותחת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רישומה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מוטעית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האשפוז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הותוו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תרופות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נוגדות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פסיכוזה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במינון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ארוכה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הלימות</w:t>
      </w:r>
      <w:r>
        <w:rPr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למחלתו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האמיתית</w:t>
      </w:r>
      <w:proofErr w:type="spellEnd"/>
      <w:r>
        <w:rPr>
          <w:szCs w:val="28"/>
          <w:rtl/>
        </w:rPr>
        <w:t xml:space="preserve"> (</w:t>
      </w:r>
      <w:r>
        <w:rPr>
          <w:szCs w:val="28"/>
          <w:rtl/>
        </w:rPr>
        <w:t>דיכאון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רבא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חולים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היו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נגועים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בטעות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חמורה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שהשליכה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לרעה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החלמתו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לפריצת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בפגמי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סכיזואידים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ותהה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לזקוף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לפתחם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מפקדיו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להימנעות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מהתערבות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יזומה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בחייו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האישיים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ומיתון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לחצי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העבודה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נתון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817"/>
          <w:tab w:val="right" w:pos="8313"/>
        </w:tabs>
        <w:spacing w:after="117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szCs w:val="28"/>
        </w:rPr>
        <w:t>3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ישיבת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</w:rPr>
        <w:t>25</w:t>
      </w:r>
      <w:r>
        <w:rPr>
          <w:szCs w:val="28"/>
          <w:rtl/>
        </w:rPr>
        <w:t>.</w:t>
      </w:r>
      <w:r>
        <w:rPr>
          <w:szCs w:val="28"/>
        </w:rPr>
        <w:t>11</w:t>
      </w:r>
      <w:r>
        <w:rPr>
          <w:szCs w:val="28"/>
          <w:rtl/>
        </w:rPr>
        <w:t>.</w:t>
      </w:r>
      <w:r>
        <w:rPr>
          <w:szCs w:val="28"/>
        </w:rPr>
        <w:t>00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הסכים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אצל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הסתמנו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לפריצת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אישיות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סכיזואידית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שברמה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נמוכה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39</w:t>
      </w:r>
      <w:r>
        <w:rPr>
          <w:szCs w:val="28"/>
          <w:rtl/>
        </w:rPr>
        <w:t xml:space="preserve">).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</w:p>
    <w:p w:rsidR="00C15AB5" w:rsidRDefault="00EE1B91">
      <w:pPr>
        <w:spacing w:line="259" w:lineRule="auto"/>
        <w:ind w:left="1433" w:right="-14"/>
      </w:pPr>
      <w:r>
        <w:rPr>
          <w:szCs w:val="28"/>
          <w:rtl/>
        </w:rPr>
        <w:t>הסתייג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מקביעת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ברורה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למצבים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הקונפליקטואלים</w:t>
      </w:r>
      <w:proofErr w:type="spellEnd"/>
      <w:r>
        <w:rPr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כב' השופט מרדכי בן </w:t>
      </w:r>
      <w:r>
        <w:rPr>
          <w:b/>
          <w:bCs/>
          <w:szCs w:val="28"/>
          <w:rtl/>
        </w:rPr>
        <w:t>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אליהם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נקלע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הרומנטית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השקפתו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האדוקה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ותופעות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האוננות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הגם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שהבין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הבחורה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נאוה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היוותה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אירוע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סטרסוגני</w:t>
      </w:r>
      <w:proofErr w:type="spellEnd"/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40</w:t>
      </w:r>
      <w:r>
        <w:rPr>
          <w:szCs w:val="28"/>
          <w:rtl/>
        </w:rPr>
        <w:t xml:space="preserve">), </w:t>
      </w:r>
      <w:r>
        <w:rPr>
          <w:szCs w:val="28"/>
          <w:rtl/>
        </w:rPr>
        <w:t>ובהמשך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אף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הסכים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נאוה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סטרסוגנית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במובן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שיכלה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להביא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שאובחנה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41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7"/>
        </w:numPr>
        <w:spacing w:after="13"/>
        <w:ind w:left="1441" w:right="-14" w:hanging="721"/>
      </w:pPr>
      <w:r>
        <w:rPr>
          <w:szCs w:val="28"/>
          <w:rtl/>
        </w:rPr>
        <w:lastRenderedPageBreak/>
        <w:t>כר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נרחב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בחקירתו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מוצבסקי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הוקדש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טענתו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שעניינה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בקביעת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מוטעית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לגבי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סכיזופרניה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בלתי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ספציפית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סבור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הנכונה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דיכאון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התרשמנו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לשוני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האבחנות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רבותא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בצבא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41</w:t>
      </w:r>
      <w:r>
        <w:rPr>
          <w:szCs w:val="28"/>
          <w:rtl/>
        </w:rPr>
        <w:t>-</w:t>
      </w:r>
      <w:r>
        <w:rPr>
          <w:szCs w:val="28"/>
        </w:rPr>
        <w:t>42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התייחס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באמביוולנטיות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כחלק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מנסיונות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הוחזר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שפקד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אותו</w:t>
      </w:r>
      <w:r>
        <w:rPr>
          <w:szCs w:val="28"/>
          <w:rtl/>
        </w:rPr>
        <w:t xml:space="preserve">; </w:t>
      </w:r>
      <w:r>
        <w:rPr>
          <w:szCs w:val="28"/>
          <w:rtl/>
        </w:rPr>
        <w:t>מחד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גיסא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להתחשב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במשאלות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ואביו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שביקשו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יחזור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לסביבת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מאידך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יכולת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תפקודו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הנמוכה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מקום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לקחת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מנהיגות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ולהפסיק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אופיו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הפרפקטציוניסטי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יש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להניח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דימויו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העצמי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נפגע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רקע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קשיי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התפקוד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45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7"/>
        </w:numPr>
        <w:spacing w:after="13"/>
        <w:ind w:left="1441" w:right="-14" w:hanging="721"/>
      </w:pPr>
      <w:r>
        <w:rPr>
          <w:szCs w:val="28"/>
          <w:rtl/>
        </w:rPr>
        <w:t>ראוי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הסכים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רישומו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המכתב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שקיבל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ממשרד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הרישוי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עליו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לעיל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הפרידה</w:t>
      </w:r>
      <w:r w:rsidR="006D3695">
        <w:rPr>
          <w:rFonts w:hint="cs"/>
          <w:szCs w:val="28"/>
          <w:rtl/>
        </w:rPr>
        <w:t xml:space="preserve"> </w:t>
      </w:r>
      <w:r w:rsidRPr="006D3695">
        <w:rPr>
          <w:szCs w:val="28"/>
          <w:highlight w:val="black"/>
          <w:rtl/>
        </w:rPr>
        <w:t>מנאוה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מציינים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גורמים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סטרסוגניים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כבדי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משקל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46</w:t>
      </w:r>
      <w:r>
        <w:rPr>
          <w:szCs w:val="28"/>
          <w:rtl/>
        </w:rPr>
        <w:t>,</w:t>
      </w:r>
      <w:r>
        <w:rPr>
          <w:szCs w:val="28"/>
        </w:rPr>
        <w:t>44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כב' השופט מרדכי בן </w:t>
      </w:r>
      <w:r>
        <w:rPr>
          <w:b/>
          <w:bCs/>
          <w:szCs w:val="28"/>
          <w:rtl/>
        </w:rPr>
        <w:t>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בהקשר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</w:t>
      </w:r>
      <w:r>
        <w:rPr>
          <w:szCs w:val="28"/>
          <w:rtl/>
        </w:rPr>
        <w:t>'</w:t>
      </w:r>
      <w:r>
        <w:rPr>
          <w:szCs w:val="28"/>
          <w:rtl/>
        </w:rPr>
        <w:t>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יכול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שהמכתב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האמור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בבחינת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הקש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ששבר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הגמל</w:t>
      </w:r>
      <w:r>
        <w:rPr>
          <w:szCs w:val="28"/>
          <w:rtl/>
        </w:rPr>
        <w:t>".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7"/>
        </w:numPr>
        <w:ind w:left="1441" w:right="-14" w:hanging="721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שהעיד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ישיבה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דבק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הטריגר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המשמעותי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שהביא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לפריצת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אצל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באירוע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השידוך</w:t>
      </w:r>
      <w:r>
        <w:rPr>
          <w:szCs w:val="28"/>
          <w:rtl/>
        </w:rPr>
        <w:t xml:space="preserve"> </w:t>
      </w:r>
    </w:p>
    <w:p w:rsidR="00C15AB5" w:rsidRDefault="00EE1B91">
      <w:pPr>
        <w:spacing w:after="119" w:line="259" w:lineRule="auto"/>
        <w:ind w:left="1433" w:right="-14"/>
      </w:pPr>
      <w:r>
        <w:rPr>
          <w:szCs w:val="28"/>
          <w:rtl/>
        </w:rPr>
        <w:t>שהשתבש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רקע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השקפתו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>.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53</w:t>
      </w:r>
      <w:r>
        <w:rPr>
          <w:szCs w:val="28"/>
          <w:rtl/>
        </w:rPr>
        <w:t>,</w:t>
      </w:r>
      <w:r>
        <w:rPr>
          <w:szCs w:val="28"/>
        </w:rPr>
        <w:t>52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להלן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lastRenderedPageBreak/>
        <w:t>הודה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נחשף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לעדויות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שהובאו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לתנאי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מודע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לקשריו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הרומנטיים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והבהיר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בהתייחסותו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הפרה</w:t>
      </w:r>
      <w:r>
        <w:rPr>
          <w:szCs w:val="28"/>
          <w:rtl/>
        </w:rPr>
        <w:t>-</w:t>
      </w:r>
      <w:r>
        <w:rPr>
          <w:szCs w:val="28"/>
          <w:rtl/>
        </w:rPr>
        <w:t>מורבידית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הגדיר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בקווי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סכיזואידיים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שאינם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אישיות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לשיטתו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קיימת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סתירה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לימודיו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49</w:t>
      </w:r>
      <w:r>
        <w:rPr>
          <w:szCs w:val="28"/>
          <w:rtl/>
        </w:rPr>
        <w:t>,</w:t>
      </w:r>
      <w:r>
        <w:rPr>
          <w:szCs w:val="28"/>
        </w:rPr>
        <w:t>48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שנחשף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לעדויות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שתארו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שבלט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בחברותה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דבק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בתפיסה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מדובר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פורמלית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נטולת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רגשות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50</w:t>
      </w:r>
      <w:r>
        <w:rPr>
          <w:szCs w:val="28"/>
          <w:rtl/>
        </w:rPr>
        <w:t xml:space="preserve">).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העדויות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שגרסו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נחשף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לתנאי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לוחצים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ותובעניים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וציין</w:t>
      </w:r>
      <w:r>
        <w:rPr>
          <w:szCs w:val="28"/>
          <w:rtl/>
        </w:rPr>
        <w:t>: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"</w:t>
      </w:r>
      <w:r>
        <w:rPr>
          <w:szCs w:val="28"/>
          <w:rtl/>
        </w:rPr>
        <w:t>התרשמתי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מרוצה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מתפקידו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מעולם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הלין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מפקדיו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מכאן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שהבנתי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מרוצה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מאופי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התרשמתי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תנאי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שגרמו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להתפרצות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המחלה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בהתפלמסו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מרצבסקי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החווה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קריצמן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הקושי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ביצירת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מבדלת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דיכאון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סכיזופרניה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הגם</w:t>
      </w:r>
      <w:r>
        <w:rPr>
          <w:szCs w:val="28"/>
          <w:rtl/>
        </w:rPr>
        <w:t xml:space="preserve"> </w:t>
      </w:r>
      <w:r>
        <w:rPr>
          <w:b/>
          <w:bCs/>
          <w:szCs w:val="28"/>
          <w:rtl/>
        </w:rPr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C15AB5">
      <w:pPr>
        <w:sectPr w:rsidR="00C15AB5">
          <w:type w:val="continuous"/>
          <w:pgSz w:w="11900" w:h="16840"/>
          <w:pgMar w:top="2864" w:right="1788" w:bottom="1792" w:left="1799" w:header="720" w:footer="720" w:gutter="0"/>
          <w:cols w:space="720"/>
          <w:bidi/>
        </w:sectPr>
      </w:pPr>
    </w:p>
    <w:p w:rsidR="00C15AB5" w:rsidRDefault="00EE1B91">
      <w:pPr>
        <w:spacing w:after="0" w:line="398" w:lineRule="auto"/>
        <w:ind w:left="904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כב' השופט מרדכי בן </w:t>
      </w:r>
      <w:r>
        <w:rPr>
          <w:b/>
          <w:bCs/>
          <w:szCs w:val="28"/>
          <w:rtl/>
        </w:rPr>
        <w:t>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2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0" w:line="259" w:lineRule="auto"/>
        <w:ind w:left="0" w:right="5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C15AB5">
      <w:pPr>
        <w:sectPr w:rsidR="00C15AB5">
          <w:type w:val="continuous"/>
          <w:pgSz w:w="11900" w:h="16840"/>
          <w:pgMar w:top="2864" w:right="1789" w:bottom="1661" w:left="5916" w:header="720" w:footer="720" w:gutter="0"/>
          <w:cols w:space="720"/>
          <w:bidi/>
        </w:sectPr>
      </w:pPr>
    </w:p>
    <w:p w:rsidR="00C15AB5" w:rsidRDefault="00EE1B91">
      <w:pPr>
        <w:ind w:left="1433" w:right="-14"/>
      </w:pPr>
      <w:r>
        <w:rPr>
          <w:szCs w:val="28"/>
          <w:rtl/>
        </w:rPr>
        <w:t>שהסכים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שבדיעבד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לשקול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מחלה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דכאונית</w:t>
      </w:r>
      <w:proofErr w:type="spellEnd"/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56</w:t>
      </w:r>
      <w:r>
        <w:rPr>
          <w:szCs w:val="28"/>
          <w:rtl/>
        </w:rPr>
        <w:t>-</w:t>
      </w:r>
      <w:r>
        <w:rPr>
          <w:szCs w:val="28"/>
        </w:rPr>
        <w:t>58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817"/>
          <w:tab w:val="right" w:pos="8313"/>
        </w:tabs>
        <w:spacing w:after="117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szCs w:val="28"/>
        </w:rPr>
        <w:t>7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בעניין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החזרתו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proofErr w:type="spellStart"/>
      <w:r>
        <w:rPr>
          <w:szCs w:val="28"/>
          <w:rtl/>
        </w:rPr>
        <w:t>קריצמן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העקרוני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האמורה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ניסיון</w:t>
      </w:r>
      <w:r>
        <w:rPr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lastRenderedPageBreak/>
        <w:t>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העדיף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שחרורו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בפרופיל</w:t>
      </w:r>
      <w:r>
        <w:rPr>
          <w:szCs w:val="28"/>
          <w:rtl/>
        </w:rPr>
        <w:t xml:space="preserve"> </w:t>
      </w:r>
      <w:r>
        <w:rPr>
          <w:szCs w:val="28"/>
        </w:rPr>
        <w:t>21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נפשי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הסכים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דרישות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הזהות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ששררו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טרם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פריצת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יכולות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בהחלט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להחמיר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55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2353"/>
        </w:tabs>
        <w:spacing w:after="187" w:line="259" w:lineRule="auto"/>
        <w:ind w:left="-14" w:firstLine="0"/>
        <w:jc w:val="left"/>
      </w:pPr>
      <w:r>
        <w:rPr>
          <w:szCs w:val="28"/>
          <w:rtl/>
        </w:rPr>
        <w:t>ז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b/>
          <w:bCs/>
          <w:szCs w:val="28"/>
          <w:u w:val="single" w:color="000000"/>
          <w:rtl/>
        </w:rPr>
        <w:t>החזרתו של המנוח לשרות ביחידה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8"/>
        </w:numPr>
        <w:spacing w:after="12"/>
        <w:ind w:right="-14" w:hanging="721"/>
      </w:pPr>
      <w:r>
        <w:rPr>
          <w:szCs w:val="28"/>
          <w:rtl/>
        </w:rPr>
        <w:t>כזכור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אושפז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במחלקה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הפסיכיאטרית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</w:t>
      </w:r>
      <w:r>
        <w:rPr>
          <w:szCs w:val="28"/>
          <w:rtl/>
        </w:rPr>
        <w:t>-</w:t>
      </w:r>
      <w:r>
        <w:rPr>
          <w:szCs w:val="28"/>
        </w:rPr>
        <w:t>4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חודשים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שחרורו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הפרופיל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</w:t>
      </w:r>
      <w:r>
        <w:rPr>
          <w:szCs w:val="28"/>
          <w:rtl/>
        </w:rPr>
        <w:t>-</w:t>
      </w:r>
      <w:r>
        <w:rPr>
          <w:szCs w:val="28"/>
        </w:rPr>
        <w:t>21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חזר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שהתקיימו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לגביו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הנחיות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המחייבות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אישור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מינהל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הסגל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להמשך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ממצאי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דו</w:t>
      </w:r>
      <w:r>
        <w:rPr>
          <w:szCs w:val="28"/>
          <w:rtl/>
        </w:rPr>
        <w:t>"</w:t>
      </w:r>
      <w:r>
        <w:rPr>
          <w:szCs w:val="28"/>
          <w:rtl/>
        </w:rPr>
        <w:t>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</w:t>
      </w:r>
      <w:r>
        <w:rPr>
          <w:szCs w:val="28"/>
          <w:rtl/>
        </w:rPr>
        <w:t>"</w:t>
      </w:r>
      <w:r>
        <w:rPr>
          <w:szCs w:val="28"/>
          <w:rtl/>
        </w:rPr>
        <w:t>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שנערך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בעקבות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הועברו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לפרקליטות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האוויר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בדיקת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האפשרות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לנקוט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בהליכים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משפטיים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נגד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המעורבים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להחזיר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לשרות</w:t>
      </w:r>
      <w:r>
        <w:rPr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8"/>
        </w:numPr>
        <w:spacing w:after="117" w:line="259" w:lineRule="auto"/>
        <w:ind w:right="-14" w:hanging="721"/>
      </w:pPr>
      <w:r>
        <w:rPr>
          <w:szCs w:val="28"/>
          <w:rtl/>
        </w:rPr>
        <w:t>סא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רחל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שפירא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הוציאה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תחת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משפטית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בענין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 </w:t>
      </w:r>
    </w:p>
    <w:p w:rsidR="00C15AB5" w:rsidRDefault="00EE1B91">
      <w:pPr>
        <w:ind w:left="1433" w:right="-14"/>
      </w:pPr>
      <w:r>
        <w:rPr>
          <w:szCs w:val="28"/>
          <w:rtl/>
        </w:rPr>
        <w:t>(</w:t>
      </w:r>
      <w:r>
        <w:rPr>
          <w:szCs w:val="28"/>
          <w:rtl/>
        </w:rPr>
        <w:t>נספח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</w:t>
      </w:r>
      <w:r>
        <w:rPr>
          <w:szCs w:val="28"/>
          <w:rtl/>
        </w:rPr>
        <w:t xml:space="preserve">' </w:t>
      </w:r>
      <w:r>
        <w:rPr>
          <w:szCs w:val="28"/>
          <w:rtl/>
        </w:rPr>
        <w:t>לסיכומי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בדקה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אחריותם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הגורמים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והאנשים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מעורבים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להשאיר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ויותר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מזה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לאפשר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סא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שפירא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הבהירה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שערכה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התייחסה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הפלילי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והמשמעתי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נזקקה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להיבטים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הרלבנטיים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lastRenderedPageBreak/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</w:t>
      </w:r>
      <w:r>
        <w:rPr>
          <w:szCs w:val="28"/>
          <w:rtl/>
        </w:rPr>
        <w:t>/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בשיקול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הרופאים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62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הצביעה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ליקויים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חמורים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ברצף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ההחלטות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וההליכים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ששיאם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החזרתו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המליצה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העמדתו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משמעתי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</w:t>
      </w:r>
      <w:r>
        <w:rPr>
          <w:szCs w:val="28"/>
          <w:rtl/>
        </w:rPr>
        <w:t>"</w:t>
      </w:r>
      <w:r>
        <w:rPr>
          <w:szCs w:val="28"/>
          <w:rtl/>
        </w:rPr>
        <w:t>מ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קרון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הרלבנטית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כראש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ברה</w:t>
      </w:r>
      <w:r>
        <w:rPr>
          <w:szCs w:val="28"/>
          <w:rtl/>
        </w:rPr>
        <w:t>"</w:t>
      </w:r>
      <w:r>
        <w:rPr>
          <w:szCs w:val="28"/>
          <w:rtl/>
        </w:rPr>
        <w:t>נ</w:t>
      </w:r>
      <w:proofErr w:type="spellEnd"/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סא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שפירא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הגדירה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החזרתו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ככשל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חברו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גורמי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64</w:t>
      </w:r>
      <w:r>
        <w:rPr>
          <w:szCs w:val="28"/>
          <w:rtl/>
        </w:rPr>
        <w:t>,</w:t>
      </w:r>
      <w:r>
        <w:rPr>
          <w:szCs w:val="28"/>
        </w:rPr>
        <w:t>63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8"/>
        </w:numPr>
        <w:ind w:right="-14" w:hanging="721"/>
      </w:pPr>
      <w:r>
        <w:rPr>
          <w:szCs w:val="28"/>
          <w:rtl/>
        </w:rPr>
        <w:t>חיווי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סא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שפירא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הקרחון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שכן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הוגנת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מידת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התרומה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היחסית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שניתן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לייחס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לשובו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שחרורו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והנמהרת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מחייבת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התייחסות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נורמטיבית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והוגנת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כמובהר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נכשלו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בהתעלמות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מפקודות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אלא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למרבה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הצער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לחלקם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ואביו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לגיבוש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שצידדה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בהמשך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6" w:line="259" w:lineRule="auto"/>
        <w:ind w:left="1433" w:right="3752"/>
      </w:pPr>
      <w:r>
        <w:rPr>
          <w:szCs w:val="28"/>
          <w:rtl/>
        </w:rPr>
        <w:t>לעניין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: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"</w:t>
      </w:r>
      <w:r>
        <w:rPr>
          <w:szCs w:val="28"/>
          <w:rtl/>
        </w:rPr>
        <w:t>לשאלתך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רציתי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ישתקם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דווקא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רציתי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ישתחרר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>".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חשבתי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דווקא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יטיב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איתו</w:t>
      </w:r>
      <w:proofErr w:type="spellEnd"/>
      <w:r>
        <w:rPr>
          <w:szCs w:val="28"/>
          <w:rtl/>
        </w:rPr>
        <w:t xml:space="preserve">... </w:t>
      </w:r>
      <w:r>
        <w:rPr>
          <w:szCs w:val="28"/>
          <w:rtl/>
        </w:rPr>
        <w:t>לצורך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מטרה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דיברתי</w:t>
      </w:r>
      <w:r w:rsidR="006D3695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שיכול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לדבר</w:t>
      </w:r>
      <w:r>
        <w:rPr>
          <w:szCs w:val="28"/>
          <w:rtl/>
        </w:rPr>
        <w:t>".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lastRenderedPageBreak/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ביקש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יעשה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דווקא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התנגד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לכך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29</w:t>
      </w:r>
      <w:r>
        <w:rPr>
          <w:szCs w:val="28"/>
          <w:rtl/>
        </w:rPr>
        <w:t>,</w:t>
      </w:r>
      <w:r>
        <w:rPr>
          <w:szCs w:val="28"/>
        </w:rPr>
        <w:t>28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8"/>
        </w:numPr>
        <w:spacing w:after="13"/>
        <w:ind w:right="-14" w:hanging="721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שטיפלה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מספר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חודשים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שחרורו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שיזם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נעמי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יואלי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ראש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ענף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פסיכולוגיה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האוויר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הוסיפה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הבינה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מיואלי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וכן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ביקש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להשאר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מפקד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הביע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תמיכה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בצעד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אפשרות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לעבוד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</w:t>
      </w:r>
      <w:r>
        <w:rPr>
          <w:szCs w:val="28"/>
          <w:rtl/>
        </w:rPr>
        <w:t>-</w:t>
      </w:r>
      <w:r>
        <w:rPr>
          <w:szCs w:val="28"/>
        </w:rPr>
        <w:t>4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ביום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נראה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הינה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המסגרת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השיקומית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הטובה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</w:rPr>
        <w:t>13</w:t>
      </w:r>
      <w:r>
        <w:rPr>
          <w:szCs w:val="28"/>
          <w:rtl/>
        </w:rPr>
        <w:t>.</w:t>
      </w:r>
      <w:r>
        <w:rPr>
          <w:szCs w:val="28"/>
        </w:rPr>
        <w:t>5</w:t>
      </w:r>
      <w:r>
        <w:rPr>
          <w:szCs w:val="28"/>
          <w:rtl/>
        </w:rPr>
        <w:t>.</w:t>
      </w:r>
      <w:r>
        <w:rPr>
          <w:szCs w:val="28"/>
        </w:rPr>
        <w:t>01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הילוך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טענה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בעקבות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החרפת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שחזר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התעורר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לבצע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הערכה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מחדש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לרבות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האפשרות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התרופתי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המלצתה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הערכה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תעשה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בתנאי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התנגדו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ואביו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;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טענה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השלים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מאוחרת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וע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נוספת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אושרר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פרופיל</w:t>
      </w:r>
      <w:r>
        <w:rPr>
          <w:szCs w:val="28"/>
          <w:rtl/>
        </w:rPr>
        <w:t xml:space="preserve"> </w:t>
      </w:r>
      <w:r>
        <w:rPr>
          <w:szCs w:val="28"/>
        </w:rPr>
        <w:t>21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המלצה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לשחרר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ודרש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ייעשה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בצורה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אמבולטורית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</w:p>
    <w:p w:rsidR="00C15AB5" w:rsidRDefault="00EE1B91">
      <w:pPr>
        <w:bidi w:val="0"/>
        <w:spacing w:after="158" w:line="259" w:lineRule="auto"/>
        <w:ind w:left="648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.(5</w:t>
      </w:r>
      <w:proofErr w:type="gramEnd"/>
    </w:p>
    <w:p w:rsidR="00C15AB5" w:rsidRDefault="00EE1B91">
      <w:pPr>
        <w:bidi w:val="0"/>
        <w:spacing w:after="133" w:line="259" w:lineRule="auto"/>
        <w:ind w:left="674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bidi w:val="0"/>
        <w:spacing w:after="0" w:line="259" w:lineRule="auto"/>
        <w:ind w:left="674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lastRenderedPageBreak/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בתוקף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מודע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ללבטים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עצמו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להשגיח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בתנאים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חוסר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ובכלל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למנוע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הסיכון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יטול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מינון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התרופות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6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4"/>
        <w:ind w:left="1440" w:right="-14" w:hanging="720"/>
      </w:pPr>
      <w:r>
        <w:rPr>
          <w:szCs w:val="28"/>
        </w:rPr>
        <w:t>5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עמדה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בעיקרה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למידת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מעורבותו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הפעילה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בגיבוש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ההחלטה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להמשך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לרבות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סרובו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להתאשפז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הערכה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מחדש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גרס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קרון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בישיבת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</w:rPr>
        <w:t>13</w:t>
      </w:r>
      <w:r>
        <w:rPr>
          <w:szCs w:val="28"/>
          <w:rtl/>
        </w:rPr>
        <w:t>.</w:t>
      </w:r>
      <w:r>
        <w:rPr>
          <w:szCs w:val="28"/>
        </w:rPr>
        <w:t>5</w:t>
      </w:r>
      <w:r>
        <w:rPr>
          <w:szCs w:val="28"/>
          <w:rtl/>
        </w:rPr>
        <w:t>.</w:t>
      </w:r>
      <w:r>
        <w:rPr>
          <w:szCs w:val="28"/>
        </w:rPr>
        <w:t>02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 w:line="373" w:lineRule="auto"/>
        <w:ind w:left="683" w:right="-15" w:firstLine="1"/>
        <w:jc w:val="right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הגדירה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התחשבותה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במשאלות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להשתקם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שרות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כנובעת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מראייה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הומנית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7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לישיבת</w:t>
      </w:r>
      <w:r>
        <w:rPr>
          <w:szCs w:val="28"/>
          <w:rtl/>
        </w:rPr>
        <w:t xml:space="preserve"> </w:t>
      </w:r>
      <w:r>
        <w:rPr>
          <w:szCs w:val="28"/>
        </w:rPr>
        <w:t>13</w:t>
      </w:r>
      <w:r>
        <w:rPr>
          <w:szCs w:val="28"/>
          <w:rtl/>
        </w:rPr>
        <w:t>.</w:t>
      </w:r>
      <w:r>
        <w:rPr>
          <w:szCs w:val="28"/>
        </w:rPr>
        <w:t>5</w:t>
      </w:r>
      <w:r>
        <w:rPr>
          <w:szCs w:val="28"/>
          <w:rtl/>
        </w:rPr>
        <w:t>.</w:t>
      </w:r>
      <w:r>
        <w:rPr>
          <w:szCs w:val="28"/>
        </w:rPr>
        <w:t>01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ועמ</w:t>
      </w:r>
      <w:r>
        <w:rPr>
          <w:szCs w:val="28"/>
          <w:rtl/>
        </w:rPr>
        <w:t xml:space="preserve">' </w:t>
      </w:r>
      <w:r>
        <w:rPr>
          <w:szCs w:val="28"/>
        </w:rPr>
        <w:t>5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בישיבת</w:t>
      </w:r>
      <w:r>
        <w:rPr>
          <w:szCs w:val="28"/>
          <w:rtl/>
        </w:rPr>
        <w:t xml:space="preserve"> </w:t>
      </w:r>
      <w:r>
        <w:rPr>
          <w:szCs w:val="28"/>
        </w:rPr>
        <w:t>4</w:t>
      </w:r>
      <w:r>
        <w:rPr>
          <w:szCs w:val="28"/>
          <w:rtl/>
        </w:rPr>
        <w:t>.</w:t>
      </w:r>
      <w:r>
        <w:rPr>
          <w:szCs w:val="28"/>
        </w:rPr>
        <w:t>6</w:t>
      </w:r>
      <w:r>
        <w:rPr>
          <w:szCs w:val="28"/>
          <w:rtl/>
        </w:rPr>
        <w:t>.</w:t>
      </w:r>
      <w:r>
        <w:rPr>
          <w:szCs w:val="28"/>
        </w:rPr>
        <w:t>02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להלן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ההיא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ממצבו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הדיכאוני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הלא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טוב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וקיום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נטיה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למחשבות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אובדניות</w:t>
      </w:r>
      <w:r>
        <w:rPr>
          <w:szCs w:val="28"/>
          <w:rtl/>
        </w:rPr>
        <w:t xml:space="preserve">; </w:t>
      </w:r>
      <w:r>
        <w:rPr>
          <w:szCs w:val="28"/>
          <w:rtl/>
        </w:rPr>
        <w:t>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המלצה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משמעית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באשפוזו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התגבשה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בקרב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בשלב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מאוחר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הוחלט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השיווי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התרופתי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וכמוה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קרון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הסבירו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התקיימה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לגבי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עילה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המאפשרת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כפוי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הדין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ומטעם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נקטו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בחלופה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816"/>
          <w:tab w:val="right" w:pos="8313"/>
        </w:tabs>
        <w:spacing w:after="117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szCs w:val="28"/>
        </w:rPr>
        <w:t>6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szCs w:val="28"/>
          <w:rtl/>
        </w:rPr>
        <w:t>היבט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נוסף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הצריך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להיבחן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יכולת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ומידת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הציפייה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מראש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לאפשרות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התרחשותה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הגרועה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דהיינו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לחייו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</w:t>
      </w:r>
      <w:r>
        <w:rPr>
          <w:b/>
          <w:bCs/>
          <w:szCs w:val="28"/>
          <w:rtl/>
        </w:rPr>
        <w:t xml:space="preserve">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במצב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דיכאון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המלווה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במחשבות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שהתהווה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אצל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ונטילת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אנטי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דכאוני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הגביר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הסיכון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לביצוע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ניסיון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נסיבה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שחייבה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הסבירה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למערער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6</w:t>
      </w:r>
      <w:r>
        <w:rPr>
          <w:szCs w:val="28"/>
          <w:rtl/>
        </w:rPr>
        <w:t>,</w:t>
      </w:r>
      <w:r>
        <w:rPr>
          <w:szCs w:val="28"/>
        </w:rPr>
        <w:t>4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בצד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הכרתה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המקצועית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בסיכון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חזרה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וטענה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הומנית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שגילתה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לתחושות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הבטחותיו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ישגיח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באופן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צמוד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הכריעו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הכף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לצד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ההמנעות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מנקיטת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האשפוז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בצד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העלאת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הכינון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הלגליסטי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לנקוט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בהליך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כפוי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טענו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קרון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חסינה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</w:t>
      </w:r>
      <w:r>
        <w:rPr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40" w:right="-14" w:hanging="720"/>
      </w:pPr>
      <w:r>
        <w:rPr>
          <w:szCs w:val="28"/>
        </w:rPr>
        <w:t>7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בצומת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שבפנינו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עומס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העבודה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נשא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בתקופת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השיקום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בהשוואה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לעומס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ששרר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ראו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שוור</w:t>
      </w:r>
      <w:r>
        <w:rPr>
          <w:szCs w:val="28"/>
          <w:rtl/>
        </w:rPr>
        <w:t>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</w:t>
      </w:r>
      <w:r>
        <w:rPr>
          <w:szCs w:val="28"/>
          <w:rtl/>
        </w:rPr>
        <w:t xml:space="preserve">' </w:t>
      </w:r>
      <w:r>
        <w:rPr>
          <w:szCs w:val="28"/>
        </w:rPr>
        <w:t>4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ישיבת</w:t>
      </w:r>
      <w:r>
        <w:rPr>
          <w:szCs w:val="28"/>
          <w:rtl/>
        </w:rPr>
        <w:t xml:space="preserve"> </w:t>
      </w:r>
      <w:r>
        <w:rPr>
          <w:szCs w:val="28"/>
        </w:rPr>
        <w:t>25</w:t>
      </w:r>
      <w:r>
        <w:rPr>
          <w:szCs w:val="28"/>
          <w:rtl/>
        </w:rPr>
        <w:t>.</w:t>
      </w:r>
      <w:r>
        <w:rPr>
          <w:szCs w:val="28"/>
        </w:rPr>
        <w:t>4</w:t>
      </w:r>
      <w:r>
        <w:rPr>
          <w:szCs w:val="28"/>
          <w:rtl/>
        </w:rPr>
        <w:t>.</w:t>
      </w:r>
      <w:r>
        <w:rPr>
          <w:szCs w:val="28"/>
        </w:rPr>
        <w:t>02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ועדות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3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לישיבת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</w:rPr>
        <w:t>4</w:t>
      </w:r>
      <w:r>
        <w:rPr>
          <w:szCs w:val="28"/>
          <w:rtl/>
        </w:rPr>
        <w:t>.</w:t>
      </w:r>
      <w:r>
        <w:rPr>
          <w:szCs w:val="28"/>
        </w:rPr>
        <w:t>6</w:t>
      </w:r>
      <w:r>
        <w:rPr>
          <w:szCs w:val="28"/>
          <w:rtl/>
        </w:rPr>
        <w:t>.</w:t>
      </w:r>
      <w:r>
        <w:rPr>
          <w:szCs w:val="28"/>
        </w:rPr>
        <w:t>02</w:t>
      </w:r>
      <w:r>
        <w:rPr>
          <w:szCs w:val="28"/>
          <w:rtl/>
        </w:rPr>
        <w:t xml:space="preserve">). </w:t>
      </w:r>
      <w:r>
        <w:rPr>
          <w:szCs w:val="28"/>
          <w:rtl/>
        </w:rPr>
        <w:t>שוורץ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הוסיף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הרחיק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גישה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לנשק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והגביל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גישתו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למקומות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מסווגים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שוורץ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שוחח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יואלי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נעמי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ראש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ענף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פסיכולוגיה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האוויר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וסיכם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עימה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ישהה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לתקופה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שמיועדת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לסייע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מטלות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8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קודם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חקירתו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שוורץ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שוחח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יואלי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נעמי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הוא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חושש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יעשה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משהו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לעצמו</w:t>
      </w:r>
      <w:r>
        <w:rPr>
          <w:szCs w:val="28"/>
          <w:rtl/>
        </w:rPr>
        <w:t>"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4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הבחין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שטונוס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השרירים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</w:t>
      </w:r>
      <w:r>
        <w:rPr>
          <w:b/>
          <w:bCs/>
          <w:szCs w:val="28"/>
          <w:rtl/>
        </w:rPr>
        <w:t>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בהליכה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נמוך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מבטו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מושפל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ובלתי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ממוקד</w:t>
      </w:r>
      <w:r>
        <w:rPr>
          <w:szCs w:val="28"/>
          <w:rtl/>
        </w:rPr>
        <w:t>...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5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תחושותיו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סא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שוורץ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לגבי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הנמוכה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ביטוי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ברור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במכתביו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מע</w:t>
      </w:r>
      <w:proofErr w:type="spellEnd"/>
      <w:r>
        <w:rPr>
          <w:szCs w:val="28"/>
          <w:rtl/>
        </w:rPr>
        <w:t>/</w:t>
      </w:r>
      <w:r>
        <w:rPr>
          <w:szCs w:val="28"/>
        </w:rPr>
        <w:t>7</w:t>
      </w:r>
      <w:r>
        <w:rPr>
          <w:szCs w:val="28"/>
          <w:rtl/>
        </w:rPr>
        <w:t xml:space="preserve">, </w:t>
      </w:r>
      <w:proofErr w:type="spellStart"/>
      <w:r>
        <w:rPr>
          <w:szCs w:val="28"/>
          <w:rtl/>
        </w:rPr>
        <w:t>מע</w:t>
      </w:r>
      <w:proofErr w:type="spellEnd"/>
      <w:r>
        <w:rPr>
          <w:szCs w:val="28"/>
          <w:rtl/>
        </w:rPr>
        <w:t>/</w:t>
      </w:r>
      <w:r>
        <w:rPr>
          <w:szCs w:val="28"/>
        </w:rPr>
        <w:t>8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שמוענו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לגב</w:t>
      </w:r>
      <w:r>
        <w:rPr>
          <w:szCs w:val="28"/>
          <w:rtl/>
        </w:rPr>
        <w:t xml:space="preserve">' </w:t>
      </w:r>
      <w:r>
        <w:rPr>
          <w:szCs w:val="28"/>
          <w:rtl/>
        </w:rPr>
        <w:t>נעמי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יואלי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ביטא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בלשון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צבאית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לקונית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הפסימית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וביקש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בהפסקת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 w:rsidRPr="006D3695">
        <w:rPr>
          <w:szCs w:val="28"/>
          <w:highlight w:val="black"/>
          <w:rtl/>
        </w:rPr>
        <w:t>גלר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שחרורו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המעיט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בדיבור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תפקודו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חסר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שם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20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0"/>
        <w:ind w:left="1441" w:right="-14" w:hanging="721"/>
      </w:pPr>
      <w:r>
        <w:rPr>
          <w:szCs w:val="28"/>
        </w:rPr>
        <w:t>8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מקבץ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מתרשמים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מופלגות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בתקופה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אשפוזו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התקווה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להשתקם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ולשאוב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תעצומות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בהיותו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נתון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בסביבה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מקצועית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הורגל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התממשה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התרשמות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נקלטה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בתודעתם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רופאיו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ומטפליו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מפקדו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סא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שוורץ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וחברו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גלר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סעיף</w:t>
      </w:r>
      <w:r>
        <w:rPr>
          <w:szCs w:val="28"/>
          <w:rtl/>
        </w:rPr>
        <w:t xml:space="preserve"> </w:t>
      </w:r>
      <w:r>
        <w:rPr>
          <w:szCs w:val="28"/>
        </w:rPr>
        <w:t>10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לתצהירו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2152"/>
        </w:tabs>
        <w:spacing w:after="115" w:line="259" w:lineRule="auto"/>
        <w:ind w:left="-14" w:firstLine="0"/>
        <w:jc w:val="left"/>
      </w:pPr>
      <w:r>
        <w:rPr>
          <w:szCs w:val="28"/>
          <w:rtl/>
        </w:rPr>
        <w:t>ח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b/>
          <w:bCs/>
          <w:szCs w:val="28"/>
          <w:u w:val="single" w:color="000000"/>
          <w:rtl/>
        </w:rPr>
        <w:t>קבלת המכתב ממשרד הרישוי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right="-14"/>
      </w:pPr>
      <w:r>
        <w:rPr>
          <w:szCs w:val="28"/>
          <w:rtl/>
        </w:rPr>
        <w:t>בחודש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מרס</w:t>
      </w:r>
      <w:r>
        <w:rPr>
          <w:szCs w:val="28"/>
          <w:rtl/>
        </w:rPr>
        <w:t xml:space="preserve"> </w:t>
      </w:r>
      <w:r>
        <w:rPr>
          <w:szCs w:val="28"/>
        </w:rPr>
        <w:t>1995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בביתו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במהלכה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86" w:right="-14"/>
      </w:pPr>
      <w:r>
        <w:rPr>
          <w:szCs w:val="28"/>
          <w:rtl/>
        </w:rPr>
        <w:t>נטל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תרופות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חדשות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שהתוו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הגיע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מכתב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ממשרד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הרישוי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לבדיקת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כושרו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להמשיך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ולהחזיק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ברשיון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נהיגה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right="-14"/>
      </w:pPr>
      <w:r>
        <w:rPr>
          <w:szCs w:val="28"/>
          <w:rtl/>
        </w:rPr>
        <w:t>בעדותו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קרא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המכתב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מוטרד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מתכנו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עדותו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30</w:t>
      </w:r>
      <w:r>
        <w:rPr>
          <w:szCs w:val="28"/>
          <w:rtl/>
        </w:rPr>
        <w:t>,</w:t>
      </w:r>
      <w:r>
        <w:rPr>
          <w:szCs w:val="28"/>
        </w:rPr>
        <w:t>29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right="-14"/>
      </w:pP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נלחץ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וחשש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לגורל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רישיון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הנהיגה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שקיבל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המכתב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עדותה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בעמ</w:t>
      </w:r>
      <w:r>
        <w:rPr>
          <w:szCs w:val="28"/>
          <w:rtl/>
        </w:rPr>
        <w:t xml:space="preserve">' </w:t>
      </w:r>
      <w:r>
        <w:rPr>
          <w:szCs w:val="28"/>
        </w:rPr>
        <w:t>8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לפרוטוקול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lastRenderedPageBreak/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ind w:left="728" w:right="-14"/>
      </w:pP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בנפשו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סמוך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מאוד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למועד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לקבלת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המכתב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שגבו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חוקרי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</w:t>
      </w:r>
      <w:r>
        <w:rPr>
          <w:szCs w:val="28"/>
          <w:rtl/>
        </w:rPr>
        <w:t>"</w:t>
      </w:r>
      <w:r>
        <w:rPr>
          <w:szCs w:val="28"/>
          <w:rtl/>
        </w:rPr>
        <w:t>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נסער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מתוכן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המכתב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חשש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מתגובתו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למכתב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וביכר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להישאר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עימו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בבית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לצאת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לעבודה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988"/>
        </w:tabs>
        <w:spacing w:after="112" w:line="259" w:lineRule="auto"/>
        <w:ind w:left="-14" w:firstLine="0"/>
        <w:jc w:val="left"/>
      </w:pPr>
      <w:r>
        <w:rPr>
          <w:szCs w:val="28"/>
          <w:rtl/>
        </w:rPr>
        <w:t>ט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b/>
          <w:bCs/>
          <w:szCs w:val="28"/>
          <w:u w:val="single" w:color="000000"/>
          <w:rtl/>
        </w:rPr>
        <w:t>הכרעה</w:t>
      </w:r>
      <w:r>
        <w:rPr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right="-14"/>
      </w:pPr>
      <w:r>
        <w:rPr>
          <w:szCs w:val="28"/>
          <w:rtl/>
        </w:rPr>
        <w:t>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שנתנו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לחומר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ולטענות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</w:t>
      </w:r>
      <w:r>
        <w:rPr>
          <w:szCs w:val="28"/>
          <w:rtl/>
        </w:rPr>
        <w:t>"</w:t>
      </w:r>
      <w:r>
        <w:rPr>
          <w:szCs w:val="28"/>
          <w:rtl/>
        </w:rPr>
        <w:t>כ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בעלי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פוסקים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כדלקמן</w:t>
      </w:r>
      <w:r>
        <w:rPr>
          <w:szCs w:val="28"/>
          <w:rtl/>
        </w:rPr>
        <w:t>: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9"/>
        </w:numPr>
        <w:ind w:right="-14" w:hanging="721"/>
      </w:pP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הוכח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ועיקר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תנאי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כמנהל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מחשבים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גרמו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החמירו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התרשמנו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גיסא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תפקיד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מפתח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מקצועית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חשובה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היטב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לתפקד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במצבים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חריגים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לחצי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עבודה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נטען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בגאוות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חדור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מוטיבציה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להצליח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בתפקידו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מאידך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הוכח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נקלע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לעבודתו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המקצועית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9"/>
        </w:numPr>
        <w:ind w:right="-14" w:hanging="721"/>
      </w:pPr>
      <w:r>
        <w:rPr>
          <w:szCs w:val="28"/>
          <w:rtl/>
        </w:rPr>
        <w:t>לעומת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תומך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בממצא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אישיותו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הסכיזואידית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הפרה</w:t>
      </w:r>
      <w:r>
        <w:rPr>
          <w:szCs w:val="28"/>
          <w:rtl/>
        </w:rPr>
        <w:t>-</w:t>
      </w:r>
      <w:r>
        <w:rPr>
          <w:szCs w:val="28"/>
          <w:rtl/>
        </w:rPr>
        <w:t>מורבידית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היוותה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להתפתחות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עימות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פנימיים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אליהם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נקלע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סביב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הוויתו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הדתית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הערכית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שנטתה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לאדיקות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ונעה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במסלול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התנגשות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קיומה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מערכת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קשרים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זוגית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שהתערבבו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רגשות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אהבה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לפורקן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מיני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התלבטויות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לעתיד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הזוגי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וכיוצ</w:t>
      </w:r>
      <w:r>
        <w:rPr>
          <w:szCs w:val="28"/>
          <w:rtl/>
        </w:rPr>
        <w:t>"</w:t>
      </w:r>
      <w:r>
        <w:rPr>
          <w:szCs w:val="28"/>
          <w:rtl/>
        </w:rPr>
        <w:t>ב</w:t>
      </w:r>
      <w:proofErr w:type="spellEnd"/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9"/>
        </w:numPr>
        <w:spacing w:after="117" w:line="259" w:lineRule="auto"/>
        <w:ind w:right="-14" w:hanging="721"/>
      </w:pPr>
      <w:r>
        <w:rPr>
          <w:szCs w:val="28"/>
          <w:rtl/>
        </w:rPr>
        <w:t>כמו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דוחים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הטענה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איחור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נטען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באבחנה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מדוייקת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שהביאה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תאימות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שהותווה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הביאו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לכשעצמם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החמרה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בסימפטומים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בצוע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ניסיון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76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numPr>
          <w:ilvl w:val="0"/>
          <w:numId w:val="9"/>
        </w:numPr>
        <w:ind w:right="-14" w:hanging="721"/>
      </w:pPr>
      <w:r>
        <w:rPr>
          <w:szCs w:val="28"/>
          <w:rtl/>
        </w:rPr>
        <w:t>מעבר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לדרוש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סבורים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סכיזופרניה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מוטעית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מלכתחילה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לכשעצמה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לבסס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ממצא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השלכות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רפואיות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מניתוח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המומחים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בעלי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לקבוע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אבחנה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מבדלת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לטיב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רקע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מקצת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הסימפטומים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המשותפים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המחלות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92" w:line="259" w:lineRule="auto"/>
        <w:ind w:left="1433" w:right="153"/>
      </w:pPr>
      <w:r>
        <w:rPr>
          <w:szCs w:val="28"/>
          <w:rtl/>
        </w:rPr>
        <w:t>(</w:t>
      </w:r>
      <w:r>
        <w:rPr>
          <w:szCs w:val="28"/>
          <w:rtl/>
        </w:rPr>
        <w:t>השוו</w:t>
      </w:r>
      <w:r>
        <w:rPr>
          <w:szCs w:val="28"/>
          <w:rtl/>
        </w:rPr>
        <w:t xml:space="preserve">:  </w:t>
      </w:r>
      <w:r>
        <w:rPr>
          <w:szCs w:val="28"/>
          <w:rtl/>
        </w:rPr>
        <w:t>ע</w:t>
      </w:r>
      <w:r>
        <w:rPr>
          <w:szCs w:val="28"/>
          <w:rtl/>
        </w:rPr>
        <w:t>.</w:t>
      </w:r>
      <w:r>
        <w:rPr>
          <w:szCs w:val="28"/>
          <w:rtl/>
        </w:rPr>
        <w:t>א</w:t>
      </w:r>
      <w:r>
        <w:rPr>
          <w:szCs w:val="28"/>
          <w:rtl/>
        </w:rPr>
        <w:t xml:space="preserve">. </w:t>
      </w:r>
      <w:r>
        <w:rPr>
          <w:szCs w:val="28"/>
        </w:rPr>
        <w:t>2027</w:t>
      </w:r>
      <w:r>
        <w:rPr>
          <w:szCs w:val="28"/>
          <w:rtl/>
        </w:rPr>
        <w:t>/</w:t>
      </w:r>
      <w:r>
        <w:rPr>
          <w:szCs w:val="28"/>
        </w:rPr>
        <w:t>96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אוביץ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נ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בי</w:t>
      </w:r>
      <w:r>
        <w:rPr>
          <w:szCs w:val="28"/>
          <w:rtl/>
        </w:rPr>
        <w:t>"</w:t>
      </w:r>
      <w:r>
        <w:rPr>
          <w:szCs w:val="28"/>
          <w:rtl/>
        </w:rPr>
        <w:t>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ביקור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חולים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פד</w:t>
      </w:r>
      <w:r>
        <w:rPr>
          <w:szCs w:val="28"/>
          <w:rtl/>
        </w:rPr>
        <w:t>"</w:t>
      </w:r>
      <w:r>
        <w:rPr>
          <w:szCs w:val="28"/>
          <w:rtl/>
        </w:rPr>
        <w:t>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</w:t>
      </w:r>
      <w:r>
        <w:rPr>
          <w:szCs w:val="28"/>
          <w:rtl/>
        </w:rPr>
        <w:t>"</w:t>
      </w:r>
      <w:proofErr w:type="gramStart"/>
      <w:r>
        <w:rPr>
          <w:szCs w:val="28"/>
          <w:rtl/>
        </w:rPr>
        <w:t>ד</w:t>
      </w:r>
      <w:r>
        <w:rPr>
          <w:szCs w:val="28"/>
          <w:rtl/>
        </w:rPr>
        <w:t>(</w:t>
      </w:r>
      <w:proofErr w:type="gramEnd"/>
      <w:r>
        <w:rPr>
          <w:szCs w:val="28"/>
        </w:rPr>
        <w:t>2</w:t>
      </w:r>
      <w:r>
        <w:rPr>
          <w:szCs w:val="28"/>
          <w:rtl/>
        </w:rPr>
        <w:t xml:space="preserve">) </w:t>
      </w:r>
      <w:r>
        <w:rPr>
          <w:szCs w:val="28"/>
        </w:rPr>
        <w:t>849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9"/>
        </w:numPr>
        <w:spacing w:after="117" w:line="259" w:lineRule="auto"/>
        <w:ind w:right="-14" w:hanging="721"/>
      </w:pPr>
      <w:r>
        <w:rPr>
          <w:szCs w:val="28"/>
          <w:rtl/>
        </w:rPr>
        <w:t>שונים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הדברים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להתנהלות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בסופו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החליט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עצמו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ובניגוד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לפקודות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להשאיר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נעתר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להפצרותיו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וכנראה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והחליט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לאשפז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אינדיקציות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ברורות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להחמרת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ביטוי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בקיום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מחשבות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אובדניות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שאת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המטפל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מודע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לפוטנציאל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המימוש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המחשבות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האובדניות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בעקבות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התרופתי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הגדלת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מינונו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ראיה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נסיבתית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נוקבת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השופכת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פוטנציאל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המימוש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מצויה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בעובדה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החלקים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המוסתרים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האקדח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שפירק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להרכיבו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ולאזור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תעצומות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לבצע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היריה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הקטלנית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בראשו</w:t>
      </w:r>
      <w:r>
        <w:rPr>
          <w:szCs w:val="28"/>
          <w:rtl/>
        </w:rPr>
        <w:t xml:space="preserve">. 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9"/>
        </w:numPr>
        <w:spacing w:after="117" w:line="259" w:lineRule="auto"/>
        <w:ind w:right="-14" w:hanging="721"/>
      </w:pPr>
      <w:r>
        <w:rPr>
          <w:szCs w:val="28"/>
          <w:rtl/>
        </w:rPr>
        <w:t>חומר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מלמד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הצוות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עמדו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שתי</w:t>
      </w:r>
      <w:r>
        <w:rPr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חלופות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בסיסיות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האחת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להביא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עניינו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בפני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מינהל</w:t>
      </w:r>
      <w:proofErr w:type="spellEnd"/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הסגל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המלצה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לשחרורו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כמוסבר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בחוו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פרקליטות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</w:t>
      </w:r>
      <w:r>
        <w:rPr>
          <w:szCs w:val="28"/>
          <w:rtl/>
        </w:rPr>
        <w:t>"</w:t>
      </w:r>
      <w:r>
        <w:rPr>
          <w:szCs w:val="28"/>
          <w:rtl/>
        </w:rPr>
        <w:t>א</w:t>
      </w:r>
      <w:r>
        <w:rPr>
          <w:szCs w:val="28"/>
          <w:rtl/>
        </w:rPr>
        <w:t xml:space="preserve">) </w:t>
      </w:r>
      <w:proofErr w:type="spellStart"/>
      <w:r>
        <w:rPr>
          <w:szCs w:val="28"/>
          <w:rtl/>
        </w:rPr>
        <w:t>והשניה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ליטול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סיכונים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ליכולת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ההתמודדות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b/>
          <w:bCs/>
          <w:szCs w:val="28"/>
          <w:rtl/>
        </w:rPr>
        <w:lastRenderedPageBreak/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118" w:line="259" w:lineRule="auto"/>
        <w:ind w:left="1433" w:right="-14"/>
      </w:pP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הקשה</w:t>
      </w: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ללא</w:t>
      </w:r>
      <w:r>
        <w:rPr>
          <w:szCs w:val="28"/>
          <w:u w:val="single" w:color="000000"/>
          <w:rtl/>
        </w:rPr>
        <w:t xml:space="preserve"> </w:t>
      </w:r>
      <w:r>
        <w:rPr>
          <w:szCs w:val="28"/>
          <w:u w:val="single" w:color="000000"/>
          <w:rtl/>
        </w:rPr>
        <w:t>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בתנאים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המשך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במתכונת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שיקומית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ולאחר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מכן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בהיותו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בחופשה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שהתוצאה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המידית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אימוץ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הראשונה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להפקיע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אחריותו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צה</w:t>
      </w:r>
      <w:r>
        <w:rPr>
          <w:szCs w:val="28"/>
          <w:rtl/>
        </w:rPr>
        <w:t>"</w:t>
      </w:r>
      <w:r>
        <w:rPr>
          <w:szCs w:val="28"/>
          <w:rtl/>
        </w:rPr>
        <w:t>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להמשך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וקרוב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לוודאי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לתוצאה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הטראגית</w:t>
      </w:r>
      <w:r>
        <w:rPr>
          <w:szCs w:val="28"/>
          <w:rtl/>
        </w:rPr>
        <w:t xml:space="preserve">), </w:t>
      </w:r>
      <w:r>
        <w:rPr>
          <w:szCs w:val="28"/>
          <w:rtl/>
        </w:rPr>
        <w:t>הרי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שנקיטת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החלופה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השניה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חשפה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עקרונית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לאחריתם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דברים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בנסיבות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עסקינן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טרגית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וקשה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מנשוא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89" w:line="259" w:lineRule="auto"/>
        <w:ind w:left="1433" w:right="4164"/>
      </w:pP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בנמצא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חלופה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שלישית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10"/>
        </w:numPr>
        <w:ind w:right="-14" w:hanging="721"/>
      </w:pP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נעלמה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מעיננו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המצוקה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האנושית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שליוותה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טיפולו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ספק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בליבנו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הרופאים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והמטפלים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רצו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בטובתו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וקיוו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יתגבר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דכאונו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יחד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דעתנו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בהנחה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המיטיבה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מפרנס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הממצא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בשלב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מוקדם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יחסית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הסתבר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לרופאיו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ומטפליו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שתוחלת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השיקום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ביחידה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נמוכה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נסיבה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להכתיב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הצורך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בהפסקת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הפרופיל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שנקבע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הקשה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numPr>
          <w:ilvl w:val="0"/>
          <w:numId w:val="10"/>
        </w:numPr>
        <w:spacing w:after="117" w:line="259" w:lineRule="auto"/>
        <w:ind w:right="-14" w:hanging="721"/>
      </w:pPr>
      <w:r>
        <w:rPr>
          <w:szCs w:val="28"/>
          <w:rtl/>
        </w:rPr>
        <w:t>הגם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שהוכח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ידו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בנטרול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חלופת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השחרור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ובמידה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קטנה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מימושה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חלופת</w:t>
      </w:r>
      <w:r>
        <w:rPr>
          <w:szCs w:val="28"/>
          <w:rtl/>
        </w:rPr>
        <w:t xml:space="preserve">   </w:t>
      </w:r>
      <w:r>
        <w:rPr>
          <w:szCs w:val="28"/>
          <w:rtl/>
        </w:rPr>
        <w:t>האשפוז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סבורים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כדרג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מקצועי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החייב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להעמיד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השיקול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המקצועי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בדבר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מתכונת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והמסגרת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ההולמים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ביותר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מצבו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הקשה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המיר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שיקולים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רפואיים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מקצועיים</w:t>
      </w:r>
      <w:r>
        <w:rPr>
          <w:szCs w:val="28"/>
          <w:rtl/>
        </w:rPr>
        <w:t xml:space="preserve"> – </w:t>
      </w:r>
      <w:proofErr w:type="spellStart"/>
      <w:r>
        <w:rPr>
          <w:szCs w:val="28"/>
          <w:rtl/>
        </w:rPr>
        <w:t>בהעתרות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להפצרות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b/>
          <w:bCs/>
          <w:szCs w:val="28"/>
          <w:rtl/>
        </w:rPr>
        <w:lastRenderedPageBreak/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כב' השופט מרדכי בן </w:t>
      </w:r>
      <w:r>
        <w:rPr>
          <w:b/>
          <w:bCs/>
          <w:szCs w:val="28"/>
          <w:rtl/>
        </w:rPr>
        <w:t>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03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תוך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ששיווה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לנגד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עיניו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שהגדירה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בעדותה</w:t>
      </w:r>
      <w:r>
        <w:rPr>
          <w:szCs w:val="28"/>
          <w:rtl/>
        </w:rPr>
        <w:t xml:space="preserve"> "</w:t>
      </w:r>
      <w:r>
        <w:rPr>
          <w:szCs w:val="28"/>
          <w:rtl/>
        </w:rPr>
        <w:t>כשיקולים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הומניים</w:t>
      </w:r>
      <w:r>
        <w:rPr>
          <w:szCs w:val="28"/>
          <w:rtl/>
        </w:rPr>
        <w:t>".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95" w:right="-14" w:hanging="69"/>
      </w:pP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szCs w:val="28"/>
          <w:rtl/>
        </w:rPr>
        <w:t>בכך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חצה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לדעתנו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הגבול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ממנו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והלאה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נגועה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התנהלותו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ברשלנות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השוו</w:t>
      </w:r>
      <w:r>
        <w:rPr>
          <w:szCs w:val="28"/>
          <w:rtl/>
        </w:rPr>
        <w:t xml:space="preserve">: </w:t>
      </w:r>
      <w:r>
        <w:rPr>
          <w:szCs w:val="28"/>
          <w:rtl/>
        </w:rPr>
        <w:t>ת</w:t>
      </w:r>
      <w:r>
        <w:rPr>
          <w:szCs w:val="28"/>
          <w:rtl/>
        </w:rPr>
        <w:t>.</w:t>
      </w:r>
      <w:r>
        <w:rPr>
          <w:szCs w:val="28"/>
          <w:rtl/>
        </w:rPr>
        <w:t>א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ירושלים</w:t>
      </w:r>
      <w:r>
        <w:rPr>
          <w:szCs w:val="28"/>
          <w:rtl/>
        </w:rPr>
        <w:t xml:space="preserve"> </w:t>
      </w:r>
      <w:r>
        <w:rPr>
          <w:szCs w:val="28"/>
        </w:rPr>
        <w:t>1777</w:t>
      </w:r>
      <w:r>
        <w:rPr>
          <w:szCs w:val="28"/>
          <w:rtl/>
        </w:rPr>
        <w:t>/</w:t>
      </w:r>
      <w:r>
        <w:rPr>
          <w:szCs w:val="28"/>
        </w:rPr>
        <w:t>96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עזבון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דליה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</w:t>
      </w:r>
      <w:r>
        <w:rPr>
          <w:szCs w:val="28"/>
          <w:rtl/>
        </w:rPr>
        <w:t xml:space="preserve">. </w:t>
      </w:r>
      <w:r>
        <w:rPr>
          <w:szCs w:val="28"/>
          <w:rtl/>
        </w:rPr>
        <w:t>ד</w:t>
      </w:r>
      <w:r>
        <w:rPr>
          <w:szCs w:val="28"/>
          <w:rtl/>
        </w:rPr>
        <w:t>"</w:t>
      </w:r>
      <w:r>
        <w:rPr>
          <w:szCs w:val="28"/>
          <w:rtl/>
        </w:rPr>
        <w:t>ר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סילביו</w:t>
      </w:r>
      <w:proofErr w:type="spellEnd"/>
      <w:r>
        <w:rPr>
          <w:szCs w:val="28"/>
          <w:rtl/>
        </w:rPr>
        <w:t xml:space="preserve"> (</w:t>
      </w:r>
      <w:r>
        <w:rPr>
          <w:szCs w:val="28"/>
          <w:rtl/>
        </w:rPr>
        <w:t>תק</w:t>
      </w:r>
      <w:r>
        <w:rPr>
          <w:szCs w:val="28"/>
          <w:rtl/>
        </w:rPr>
        <w:t>-</w:t>
      </w:r>
      <w:r>
        <w:rPr>
          <w:szCs w:val="28"/>
          <w:rtl/>
        </w:rPr>
        <w:t>מח</w:t>
      </w:r>
      <w:r>
        <w:rPr>
          <w:szCs w:val="28"/>
          <w:rtl/>
        </w:rPr>
        <w:t xml:space="preserve"> </w:t>
      </w:r>
      <w:r>
        <w:rPr>
          <w:szCs w:val="28"/>
        </w:rPr>
        <w:t>98</w:t>
      </w:r>
      <w:r>
        <w:rPr>
          <w:szCs w:val="28"/>
          <w:rtl/>
        </w:rPr>
        <w:t>(</w:t>
      </w:r>
      <w:r>
        <w:rPr>
          <w:szCs w:val="28"/>
        </w:rPr>
        <w:t>2</w:t>
      </w:r>
      <w:r>
        <w:rPr>
          <w:szCs w:val="28"/>
          <w:rtl/>
        </w:rPr>
        <w:t xml:space="preserve">) </w:t>
      </w:r>
      <w:r>
        <w:rPr>
          <w:szCs w:val="28"/>
        </w:rPr>
        <w:t>3473</w:t>
      </w:r>
      <w:r>
        <w:rPr>
          <w:szCs w:val="28"/>
          <w:rtl/>
        </w:rPr>
        <w:t xml:space="preserve"> (</w:t>
      </w:r>
      <w:r>
        <w:rPr>
          <w:szCs w:val="28"/>
          <w:rtl/>
        </w:rPr>
        <w:t>צוטטה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בהרחבה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בסיכומי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מעבר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לדרוש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בבחינת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הוראות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בחולי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התשנ</w:t>
      </w:r>
      <w:r>
        <w:rPr>
          <w:szCs w:val="28"/>
          <w:rtl/>
        </w:rPr>
        <w:t>"</w:t>
      </w:r>
      <w:r>
        <w:rPr>
          <w:szCs w:val="28"/>
          <w:rtl/>
        </w:rPr>
        <w:t>א</w:t>
      </w:r>
      <w:proofErr w:type="spellEnd"/>
      <w:r>
        <w:rPr>
          <w:szCs w:val="28"/>
          <w:rtl/>
        </w:rPr>
        <w:t>-</w:t>
      </w:r>
      <w:r>
        <w:rPr>
          <w:szCs w:val="28"/>
        </w:rPr>
        <w:t>1991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הייתה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קיימת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לפחות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לכאורה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אינדיקציה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לאשפוז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כפוי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וזאת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מכוח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שילוב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ההוראות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סעיפים</w:t>
      </w:r>
      <w:r>
        <w:rPr>
          <w:szCs w:val="28"/>
          <w:rtl/>
        </w:rPr>
        <w:t xml:space="preserve"> </w:t>
      </w:r>
      <w:r>
        <w:rPr>
          <w:szCs w:val="28"/>
        </w:rPr>
        <w:t>6</w:t>
      </w:r>
      <w:r>
        <w:rPr>
          <w:szCs w:val="28"/>
          <w:rtl/>
        </w:rPr>
        <w:t>(</w:t>
      </w:r>
      <w:r>
        <w:rPr>
          <w:szCs w:val="28"/>
          <w:rtl/>
        </w:rPr>
        <w:t>א</w:t>
      </w:r>
      <w:r>
        <w:rPr>
          <w:szCs w:val="28"/>
          <w:rtl/>
        </w:rPr>
        <w:t>)(</w:t>
      </w:r>
      <w:r>
        <w:rPr>
          <w:szCs w:val="28"/>
        </w:rPr>
        <w:t>1</w:t>
      </w:r>
      <w:r>
        <w:rPr>
          <w:szCs w:val="28"/>
          <w:rtl/>
        </w:rPr>
        <w:t>)(</w:t>
      </w:r>
      <w:r>
        <w:rPr>
          <w:szCs w:val="28"/>
        </w:rPr>
        <w:t>2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ו</w:t>
      </w:r>
      <w:r>
        <w:rPr>
          <w:szCs w:val="28"/>
          <w:rtl/>
        </w:rPr>
        <w:t>-</w:t>
      </w:r>
      <w:r>
        <w:rPr>
          <w:szCs w:val="28"/>
        </w:rPr>
        <w:t>9</w:t>
      </w:r>
      <w:r>
        <w:rPr>
          <w:szCs w:val="28"/>
          <w:rtl/>
        </w:rPr>
        <w:t>(</w:t>
      </w:r>
      <w:r>
        <w:rPr>
          <w:szCs w:val="28"/>
          <w:rtl/>
        </w:rPr>
        <w:t>א</w:t>
      </w:r>
      <w:r>
        <w:rPr>
          <w:szCs w:val="28"/>
          <w:rtl/>
        </w:rPr>
        <w:t xml:space="preserve">) </w:t>
      </w:r>
      <w:r>
        <w:rPr>
          <w:szCs w:val="28"/>
          <w:rtl/>
        </w:rPr>
        <w:t>לאותו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בגדרם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ניתן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לאשפז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בכפיה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פוגעת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בכושר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שיפוטו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סיכון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עצמי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tabs>
          <w:tab w:val="center" w:pos="816"/>
          <w:tab w:val="right" w:pos="8313"/>
        </w:tabs>
        <w:spacing w:after="117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szCs w:val="28"/>
        </w:rPr>
        <w:t>9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szCs w:val="28"/>
          <w:rtl/>
        </w:rPr>
        <w:t>אין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חולק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במהלך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תקופת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עובר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למותו</w:t>
      </w:r>
      <w:r>
        <w:rPr>
          <w:szCs w:val="28"/>
          <w:rtl/>
        </w:rPr>
        <w:t xml:space="preserve">, </w:t>
      </w:r>
      <w:r>
        <w:rPr>
          <w:szCs w:val="28"/>
          <w:rtl/>
        </w:rPr>
        <w:t>היה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</w:p>
    <w:p w:rsidR="00C15AB5" w:rsidRDefault="00EE1B91">
      <w:pPr>
        <w:spacing w:after="0"/>
        <w:ind w:left="1433" w:right="-14"/>
      </w:pPr>
      <w:r>
        <w:rPr>
          <w:szCs w:val="28"/>
          <w:rtl/>
        </w:rPr>
        <w:t>"</w:t>
      </w:r>
      <w:r>
        <w:rPr>
          <w:szCs w:val="28"/>
          <w:rtl/>
        </w:rPr>
        <w:t>חייל</w:t>
      </w:r>
      <w:r>
        <w:rPr>
          <w:szCs w:val="28"/>
          <w:rtl/>
        </w:rPr>
        <w:t xml:space="preserve">" </w:t>
      </w:r>
      <w:r>
        <w:rPr>
          <w:szCs w:val="28"/>
          <w:rtl/>
        </w:rPr>
        <w:t>וככזה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תנאי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חייבו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להיזקק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לטיפולו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הדרג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הרפואי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ind w:left="1433" w:right="-14"/>
      </w:pPr>
      <w:r>
        <w:rPr>
          <w:szCs w:val="28"/>
          <w:rtl/>
        </w:rPr>
        <w:t>מכאן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שחרף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הממצא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קבענו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ולפיו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לא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התקיימו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בתנאי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שרותו</w:t>
      </w:r>
      <w:proofErr w:type="spellEnd"/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גורמים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שהביאו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לפרוץ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מחלתו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הנפשית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שהטיפול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במחלת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הנפש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לקה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הביאה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למותו</w:t>
      </w:r>
      <w:r>
        <w:rPr>
          <w:szCs w:val="28"/>
          <w:rtl/>
        </w:rPr>
        <w:t xml:space="preserve"> – </w:t>
      </w:r>
      <w:r>
        <w:rPr>
          <w:szCs w:val="28"/>
          <w:rtl/>
        </w:rPr>
        <w:t>אינו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מתיישב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נורמות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מקובלות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ומקצועיות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טיפול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רפואי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18" w:line="259" w:lineRule="auto"/>
        <w:ind w:left="0" w:right="1908" w:firstLine="0"/>
        <w:jc w:val="right"/>
      </w:pPr>
      <w:r>
        <w:rPr>
          <w:szCs w:val="28"/>
          <w:rtl/>
        </w:rPr>
        <w:t>השוו</w:t>
      </w:r>
      <w:r>
        <w:rPr>
          <w:szCs w:val="28"/>
          <w:rtl/>
        </w:rPr>
        <w:t xml:space="preserve">: </w:t>
      </w:r>
      <w:r>
        <w:rPr>
          <w:szCs w:val="28"/>
          <w:rtl/>
        </w:rPr>
        <w:t>רע</w:t>
      </w:r>
      <w:r>
        <w:rPr>
          <w:szCs w:val="28"/>
          <w:rtl/>
        </w:rPr>
        <w:t>"</w:t>
      </w:r>
      <w:r>
        <w:rPr>
          <w:szCs w:val="28"/>
          <w:rtl/>
        </w:rPr>
        <w:t>א</w:t>
      </w:r>
      <w:r>
        <w:rPr>
          <w:szCs w:val="28"/>
          <w:rtl/>
        </w:rPr>
        <w:t xml:space="preserve"> </w:t>
      </w:r>
      <w:r>
        <w:rPr>
          <w:szCs w:val="28"/>
        </w:rPr>
        <w:t>5642</w:t>
      </w:r>
      <w:r>
        <w:rPr>
          <w:szCs w:val="28"/>
          <w:rtl/>
        </w:rPr>
        <w:t>/</w:t>
      </w:r>
      <w:r>
        <w:rPr>
          <w:szCs w:val="28"/>
        </w:rPr>
        <w:t>99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שנאור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</w:t>
      </w:r>
      <w:r>
        <w:rPr>
          <w:szCs w:val="28"/>
          <w:rtl/>
        </w:rPr>
        <w:t xml:space="preserve">. </w:t>
      </w:r>
      <w:proofErr w:type="spellStart"/>
      <w:r>
        <w:rPr>
          <w:szCs w:val="28"/>
          <w:rtl/>
        </w:rPr>
        <w:t>ק</w:t>
      </w:r>
      <w:r>
        <w:rPr>
          <w:szCs w:val="28"/>
          <w:rtl/>
        </w:rPr>
        <w:t>"</w:t>
      </w:r>
      <w:r>
        <w:rPr>
          <w:szCs w:val="28"/>
          <w:rtl/>
        </w:rPr>
        <w:t>ת</w:t>
      </w:r>
      <w:proofErr w:type="spellEnd"/>
      <w:r>
        <w:rPr>
          <w:szCs w:val="28"/>
          <w:rtl/>
        </w:rPr>
        <w:t xml:space="preserve"> (</w:t>
      </w:r>
      <w:r>
        <w:rPr>
          <w:szCs w:val="28"/>
          <w:rtl/>
        </w:rPr>
        <w:t>תק</w:t>
      </w:r>
      <w:r>
        <w:rPr>
          <w:szCs w:val="28"/>
          <w:rtl/>
        </w:rPr>
        <w:t>-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</w:rPr>
        <w:t>96</w:t>
      </w:r>
      <w:r>
        <w:rPr>
          <w:szCs w:val="28"/>
          <w:rtl/>
        </w:rPr>
        <w:t>(</w:t>
      </w:r>
      <w:r>
        <w:rPr>
          <w:szCs w:val="28"/>
        </w:rPr>
        <w:t>3</w:t>
      </w:r>
      <w:r>
        <w:rPr>
          <w:szCs w:val="28"/>
          <w:rtl/>
        </w:rPr>
        <w:t>).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spacing w:after="14"/>
        <w:ind w:left="1433" w:right="-14"/>
      </w:pP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יסוד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האמור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כאן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הגענו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לידי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מסקנה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נטל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הראיה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המערער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ובין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המשיב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חומר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הראיות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שבפנינו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הינו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משכנע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להוכחת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התנאים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הקבועים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בסעיף</w:t>
      </w:r>
      <w:r>
        <w:rPr>
          <w:szCs w:val="28"/>
          <w:rtl/>
        </w:rPr>
        <w:t xml:space="preserve"> </w:t>
      </w:r>
      <w:r>
        <w:rPr>
          <w:szCs w:val="28"/>
        </w:rPr>
        <w:t>2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לחוק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המשפחות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0" w:line="259" w:lineRule="auto"/>
        <w:ind w:left="0" w:right="58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C15AB5" w:rsidRDefault="00EE1B91">
      <w:pPr>
        <w:bidi w:val="0"/>
        <w:spacing w:after="153" w:line="259" w:lineRule="auto"/>
        <w:ind w:left="2556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904" w:right="1596" w:hanging="918"/>
        <w:jc w:val="right"/>
      </w:pPr>
      <w:r>
        <w:rPr>
          <w:b/>
          <w:bCs/>
          <w:szCs w:val="28"/>
          <w:rtl/>
        </w:rPr>
        <w:t>בפני: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כב' השופט מרדכי בן חיים,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ab/>
        <w:t>תאריך: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>.</w:t>
      </w:r>
      <w:r>
        <w:rPr>
          <w:b/>
          <w:bCs/>
          <w:szCs w:val="28"/>
        </w:rPr>
        <w:t>2004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>,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עו"ד נ. רמון,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2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51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bidi w:val="0"/>
        <w:spacing w:after="85" w:line="259" w:lineRule="auto"/>
        <w:ind w:left="674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spacing w:after="13"/>
        <w:ind w:left="1433" w:right="-14"/>
      </w:pPr>
      <w:r>
        <w:rPr>
          <w:szCs w:val="28"/>
          <w:rtl/>
        </w:rPr>
        <w:t>אשר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כן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אנו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מקבלים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את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הערעור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ופוסקים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כי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המנוח</w:t>
      </w:r>
      <w:r>
        <w:rPr>
          <w:szCs w:val="28"/>
          <w:rtl/>
        </w:rPr>
        <w:t xml:space="preserve"> </w:t>
      </w:r>
      <w:r>
        <w:rPr>
          <w:szCs w:val="28"/>
          <w:rtl/>
        </w:rPr>
        <w:t>נגרם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עקב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שירותו</w:t>
      </w:r>
      <w:r>
        <w:rPr>
          <w:szCs w:val="28"/>
          <w:rtl/>
        </w:rPr>
        <w:t xml:space="preserve"> </w:t>
      </w:r>
      <w:r>
        <w:rPr>
          <w:szCs w:val="28"/>
          <w:rtl/>
        </w:rPr>
        <w:t>הצבאי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2" w:line="259" w:lineRule="auto"/>
        <w:ind w:left="0" w:right="59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tabs>
          <w:tab w:val="center" w:pos="722"/>
          <w:tab w:val="center" w:pos="2508"/>
        </w:tabs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Cs w:val="28"/>
          <w:rtl/>
        </w:rPr>
        <w:tab/>
        <w:t xml:space="preserve"> </w:t>
      </w:r>
      <w:r>
        <w:rPr>
          <w:szCs w:val="28"/>
          <w:rtl/>
        </w:rPr>
        <w:t>הערעור</w:t>
      </w:r>
      <w:r>
        <w:rPr>
          <w:szCs w:val="28"/>
          <w:rtl/>
        </w:rPr>
        <w:t xml:space="preserve"> </w:t>
      </w:r>
      <w:r>
        <w:rPr>
          <w:szCs w:val="28"/>
          <w:rtl/>
        </w:rPr>
        <w:t>מתקבל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איפוא</w:t>
      </w:r>
      <w:proofErr w:type="spellEnd"/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8" w:line="259" w:lineRule="auto"/>
        <w:ind w:left="0" w:right="59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spacing w:after="165" w:line="259" w:lineRule="auto"/>
        <w:ind w:left="1433" w:right="1139"/>
      </w:pPr>
      <w:r>
        <w:rPr>
          <w:szCs w:val="28"/>
          <w:rtl/>
        </w:rPr>
        <w:t>המשיב</w:t>
      </w:r>
      <w:r>
        <w:rPr>
          <w:szCs w:val="28"/>
          <w:rtl/>
        </w:rPr>
        <w:t xml:space="preserve">  </w:t>
      </w:r>
      <w:r>
        <w:rPr>
          <w:szCs w:val="28"/>
          <w:rtl/>
        </w:rPr>
        <w:t>ישלם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למערערים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שכ</w:t>
      </w:r>
      <w:r>
        <w:rPr>
          <w:szCs w:val="28"/>
          <w:rtl/>
        </w:rPr>
        <w:t>"</w:t>
      </w:r>
      <w:r>
        <w:rPr>
          <w:szCs w:val="28"/>
          <w:rtl/>
        </w:rPr>
        <w:t>ט</w:t>
      </w:r>
      <w:r>
        <w:rPr>
          <w:szCs w:val="28"/>
          <w:rtl/>
        </w:rPr>
        <w:t xml:space="preserve"> </w:t>
      </w:r>
      <w:r>
        <w:rPr>
          <w:szCs w:val="28"/>
          <w:rtl/>
        </w:rPr>
        <w:t>עו</w:t>
      </w:r>
      <w:r>
        <w:rPr>
          <w:szCs w:val="28"/>
          <w:rtl/>
        </w:rPr>
        <w:t>"</w:t>
      </w:r>
      <w:r>
        <w:rPr>
          <w:szCs w:val="28"/>
          <w:rtl/>
        </w:rPr>
        <w:t>ד</w:t>
      </w:r>
      <w:r>
        <w:rPr>
          <w:szCs w:val="28"/>
          <w:rtl/>
        </w:rPr>
        <w:t xml:space="preserve"> </w:t>
      </w:r>
      <w:r>
        <w:rPr>
          <w:szCs w:val="28"/>
          <w:rtl/>
        </w:rPr>
        <w:t>בסכום</w:t>
      </w:r>
      <w:r>
        <w:rPr>
          <w:szCs w:val="28"/>
          <w:rtl/>
        </w:rPr>
        <w:t xml:space="preserve"> </w:t>
      </w:r>
      <w:r>
        <w:rPr>
          <w:szCs w:val="28"/>
          <w:rtl/>
        </w:rPr>
        <w:t>של</w:t>
      </w:r>
      <w:r>
        <w:rPr>
          <w:szCs w:val="28"/>
          <w:rtl/>
        </w:rPr>
        <w:t xml:space="preserve"> </w:t>
      </w:r>
      <w:r>
        <w:rPr>
          <w:szCs w:val="28"/>
        </w:rPr>
        <w:t>7</w:t>
      </w:r>
      <w:r>
        <w:rPr>
          <w:szCs w:val="28"/>
          <w:rtl/>
        </w:rPr>
        <w:t>,</w:t>
      </w:r>
      <w:r>
        <w:rPr>
          <w:szCs w:val="28"/>
        </w:rPr>
        <w:t>500</w:t>
      </w:r>
      <w:r>
        <w:rPr>
          <w:szCs w:val="28"/>
          <w:rtl/>
        </w:rPr>
        <w:t xml:space="preserve"> </w:t>
      </w:r>
      <w:r>
        <w:rPr>
          <w:szCs w:val="28"/>
          <w:rtl/>
        </w:rPr>
        <w:t>₪</w:t>
      </w:r>
      <w:r>
        <w:rPr>
          <w:szCs w:val="28"/>
          <w:rtl/>
        </w:rPr>
        <w:t>.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p w:rsidR="00C15AB5" w:rsidRDefault="00EE1B91">
      <w:pPr>
        <w:bidi w:val="0"/>
        <w:spacing w:after="156" w:line="259" w:lineRule="auto"/>
        <w:ind w:left="0" w:right="59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spacing w:after="167" w:line="259" w:lineRule="auto"/>
        <w:ind w:left="-4" w:hanging="10"/>
        <w:jc w:val="left"/>
      </w:pPr>
      <w:r>
        <w:rPr>
          <w:b/>
          <w:bCs/>
          <w:szCs w:val="28"/>
          <w:rtl/>
        </w:rPr>
        <w:t>הודעה זכות הערעור.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155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167" w:line="259" w:lineRule="auto"/>
        <w:ind w:left="-4" w:hanging="10"/>
        <w:jc w:val="left"/>
      </w:pPr>
      <w:r>
        <w:rPr>
          <w:b/>
          <w:bCs/>
          <w:szCs w:val="28"/>
          <w:rtl/>
        </w:rPr>
        <w:t>המזכירות תמציא עותק ההחלטה לב"כ הצדדים בדואר רשום.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95" w:line="259" w:lineRule="auto"/>
        <w:ind w:left="0" w:right="59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15AB5" w:rsidRDefault="00EE1B91">
      <w:pPr>
        <w:bidi w:val="0"/>
        <w:spacing w:after="176" w:line="259" w:lineRule="auto"/>
        <w:ind w:left="0" w:right="5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AB5" w:rsidRDefault="00EE1B91">
      <w:pPr>
        <w:spacing w:after="167" w:line="259" w:lineRule="auto"/>
        <w:ind w:left="-4" w:hanging="10"/>
        <w:jc w:val="left"/>
      </w:pPr>
      <w:r>
        <w:rPr>
          <w:b/>
          <w:bCs/>
          <w:szCs w:val="28"/>
          <w:rtl/>
        </w:rPr>
        <w:t>ניתנה היום, כ"ט בכסלו, תשס"</w:t>
      </w:r>
      <w:r>
        <w:rPr>
          <w:b/>
          <w:bCs/>
          <w:szCs w:val="28"/>
          <w:rtl/>
        </w:rPr>
        <w:t>ה (</w:t>
      </w:r>
      <w:r>
        <w:rPr>
          <w:b/>
          <w:bCs/>
          <w:szCs w:val="28"/>
        </w:rPr>
        <w:t>12</w:t>
      </w:r>
      <w:r>
        <w:rPr>
          <w:b/>
          <w:bCs/>
          <w:szCs w:val="28"/>
          <w:rtl/>
        </w:rPr>
        <w:t xml:space="preserve"> בדצמבר </w:t>
      </w:r>
      <w:r>
        <w:rPr>
          <w:b/>
          <w:bCs/>
          <w:szCs w:val="28"/>
        </w:rPr>
        <w:t>2004</w:t>
      </w:r>
      <w:r>
        <w:rPr>
          <w:b/>
          <w:bCs/>
          <w:szCs w:val="28"/>
          <w:rtl/>
        </w:rPr>
        <w:t>) , בהעדר הצדדים.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bidi w:val="0"/>
        <w:spacing w:after="133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33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bidi w:val="0"/>
        <w:spacing w:after="154" w:line="259" w:lineRule="auto"/>
        <w:ind w:left="0" w:right="83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5AB5" w:rsidRDefault="00EE1B91">
      <w:pPr>
        <w:spacing w:after="0" w:line="398" w:lineRule="auto"/>
        <w:ind w:left="2" w:right="918" w:hanging="13"/>
        <w:jc w:val="right"/>
      </w:pPr>
      <w:r>
        <w:rPr>
          <w:b/>
          <w:bCs/>
          <w:szCs w:val="28"/>
          <w:rtl/>
        </w:rPr>
        <w:t xml:space="preserve">  _______________          ______________            _____________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    מ. בן חיים, שופט                  ד"ר ח. </w:t>
      </w:r>
      <w:proofErr w:type="spellStart"/>
      <w:r>
        <w:rPr>
          <w:b/>
          <w:bCs/>
          <w:szCs w:val="28"/>
          <w:rtl/>
        </w:rPr>
        <w:t>קכל</w:t>
      </w:r>
      <w:proofErr w:type="spellEnd"/>
      <w:r>
        <w:rPr>
          <w:b/>
          <w:bCs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b/>
          <w:bCs/>
          <w:szCs w:val="28"/>
          <w:rtl/>
        </w:rPr>
        <w:t xml:space="preserve">  עו"ד נ. רמון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              יו"ר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b/>
          <w:bCs/>
          <w:szCs w:val="28"/>
          <w:rtl/>
        </w:rPr>
        <w:t xml:space="preserve">            חבר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b/>
          <w:bCs/>
          <w:szCs w:val="28"/>
          <w:rtl/>
        </w:rPr>
        <w:t xml:space="preserve">        חברה</w:t>
      </w:r>
      <w:r>
        <w:rPr>
          <w:rFonts w:ascii="Times New Roman" w:eastAsia="Times New Roman" w:hAnsi="Times New Roman" w:cs="Times New Roman"/>
          <w:b/>
          <w:bCs/>
          <w:szCs w:val="28"/>
          <w:rtl/>
        </w:rPr>
        <w:t xml:space="preserve"> </w:t>
      </w:r>
    </w:p>
    <w:p w:rsidR="00C15AB5" w:rsidRDefault="00EE1B91">
      <w:pPr>
        <w:ind w:right="3978"/>
      </w:pPr>
      <w:r>
        <w:rPr>
          <w:sz w:val="24"/>
          <w:szCs w:val="24"/>
          <w:rtl/>
        </w:rPr>
        <w:lastRenderedPageBreak/>
        <w:t xml:space="preserve">                     </w:t>
      </w:r>
      <w:r>
        <w:rPr>
          <w:sz w:val="24"/>
          <w:szCs w:val="24"/>
          <w:rtl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szCs w:val="28"/>
          <w:rtl/>
        </w:rPr>
        <w:t>קלדנית</w:t>
      </w:r>
      <w:r>
        <w:rPr>
          <w:szCs w:val="28"/>
          <w:rtl/>
        </w:rPr>
        <w:t xml:space="preserve">: </w:t>
      </w:r>
      <w:r>
        <w:rPr>
          <w:szCs w:val="28"/>
          <w:rtl/>
        </w:rPr>
        <w:t>טובה</w:t>
      </w:r>
      <w:r>
        <w:rPr>
          <w:rFonts w:ascii="Times New Roman" w:eastAsia="Times New Roman" w:hAnsi="Times New Roman" w:cs="Times New Roman"/>
          <w:szCs w:val="28"/>
          <w:rtl/>
        </w:rPr>
        <w:t xml:space="preserve"> </w:t>
      </w:r>
    </w:p>
    <w:sectPr w:rsidR="00C15AB5">
      <w:type w:val="continuous"/>
      <w:pgSz w:w="11900" w:h="16840"/>
      <w:pgMar w:top="2864" w:right="1788" w:bottom="1661" w:left="1799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1B91">
      <w:pPr>
        <w:spacing w:after="0" w:line="240" w:lineRule="auto"/>
      </w:pPr>
      <w:r>
        <w:separator/>
      </w:r>
    </w:p>
  </w:endnote>
  <w:endnote w:type="continuationSeparator" w:id="0">
    <w:p w:rsidR="00000000" w:rsidRDefault="00EE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1B91">
      <w:pPr>
        <w:spacing w:after="0" w:line="240" w:lineRule="auto"/>
      </w:pPr>
      <w:r>
        <w:separator/>
      </w:r>
    </w:p>
  </w:footnote>
  <w:footnote w:type="continuationSeparator" w:id="0">
    <w:p w:rsidR="00000000" w:rsidRDefault="00EE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B5" w:rsidRDefault="00EE1B91">
    <w:pPr>
      <w:bidi w:val="0"/>
      <w:spacing w:after="707" w:line="259" w:lineRule="auto"/>
      <w:ind w:left="0" w:righ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C15AB5" w:rsidRDefault="00EE1B91">
    <w:pPr>
      <w:bidi w:val="0"/>
      <w:spacing w:after="98" w:line="259" w:lineRule="auto"/>
      <w:ind w:left="0" w:right="10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3627882</wp:posOffset>
          </wp:positionH>
          <wp:positionV relativeFrom="page">
            <wp:posOffset>719325</wp:posOffset>
          </wp:positionV>
          <wp:extent cx="435581" cy="45186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581" cy="45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  </w:t>
    </w:r>
  </w:p>
  <w:p w:rsidR="00C15AB5" w:rsidRDefault="00EE1B91">
    <w:pPr>
      <w:spacing w:after="193" w:line="259" w:lineRule="auto"/>
      <w:ind w:left="0" w:firstLine="0"/>
      <w:jc w:val="center"/>
    </w:pPr>
    <w:r>
      <w:rPr>
        <w:b/>
        <w:bCs/>
        <w:sz w:val="32"/>
        <w:szCs w:val="32"/>
        <w:rtl/>
      </w:rPr>
      <w:t>בתי המשפט</w:t>
    </w:r>
    <w:r>
      <w:rPr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rtl/>
      </w:rPr>
      <w:t xml:space="preserve"> </w:t>
    </w:r>
  </w:p>
  <w:p w:rsidR="00C15AB5" w:rsidRDefault="00EE1B91">
    <w:pPr>
      <w:spacing w:after="0" w:line="399" w:lineRule="auto"/>
      <w:ind w:left="0" w:right="1715" w:firstLine="0"/>
      <w:jc w:val="right"/>
    </w:pPr>
    <w:r>
      <w:rPr>
        <w:b/>
        <w:bCs/>
        <w:szCs w:val="28"/>
        <w:rtl/>
      </w:rPr>
      <w:t xml:space="preserve">ועדת הערעורים על פי חוק משפחות חיילים 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  <w:r>
      <w:rPr>
        <w:b/>
        <w:bCs/>
        <w:szCs w:val="28"/>
        <w:rtl/>
      </w:rPr>
      <w:tab/>
    </w:r>
    <w:proofErr w:type="spellStart"/>
    <w:r>
      <w:rPr>
        <w:b/>
        <w:bCs/>
        <w:szCs w:val="28"/>
        <w:rtl/>
      </w:rPr>
      <w:t>עמח</w:t>
    </w:r>
    <w:proofErr w:type="spellEnd"/>
    <w:r>
      <w:rPr>
        <w:b/>
        <w:bCs/>
        <w:szCs w:val="28"/>
        <w:rtl/>
      </w:rPr>
      <w:t xml:space="preserve"> </w:t>
    </w:r>
    <w:r>
      <w:rPr>
        <w:b/>
        <w:bCs/>
        <w:szCs w:val="28"/>
      </w:rPr>
      <w:t>96</w:t>
    </w:r>
    <w:r>
      <w:rPr>
        <w:b/>
        <w:bCs/>
        <w:szCs w:val="28"/>
        <w:rtl/>
      </w:rPr>
      <w:t>/</w:t>
    </w:r>
    <w:r>
      <w:rPr>
        <w:b/>
        <w:bCs/>
        <w:szCs w:val="28"/>
      </w:rPr>
      <w:t>8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  <w:r>
      <w:rPr>
        <w:b/>
        <w:bCs/>
        <w:szCs w:val="28"/>
        <w:rtl/>
      </w:rPr>
      <w:t>שנספו במערכה (תגמולים ושיקום) תש"י-</w:t>
    </w:r>
    <w:r>
      <w:rPr>
        <w:b/>
        <w:bCs/>
        <w:szCs w:val="28"/>
      </w:rPr>
      <w:t>1950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B5" w:rsidRDefault="00EE1B91">
    <w:pPr>
      <w:bidi w:val="0"/>
      <w:spacing w:after="707" w:line="259" w:lineRule="auto"/>
      <w:ind w:left="0" w:righ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21</w:t>
    </w:r>
    <w:r>
      <w:rPr>
        <w:sz w:val="24"/>
      </w:rPr>
      <w:fldChar w:fldCharType="end"/>
    </w:r>
  </w:p>
  <w:p w:rsidR="00C15AB5" w:rsidRDefault="00EE1B91">
    <w:pPr>
      <w:bidi w:val="0"/>
      <w:spacing w:after="98" w:line="259" w:lineRule="auto"/>
      <w:ind w:left="0" w:right="10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3627882</wp:posOffset>
          </wp:positionH>
          <wp:positionV relativeFrom="page">
            <wp:posOffset>719325</wp:posOffset>
          </wp:positionV>
          <wp:extent cx="435581" cy="451866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581" cy="45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  </w:t>
    </w:r>
  </w:p>
  <w:p w:rsidR="00C15AB5" w:rsidRDefault="00EE1B91">
    <w:pPr>
      <w:spacing w:after="193" w:line="259" w:lineRule="auto"/>
      <w:ind w:left="0" w:firstLine="0"/>
      <w:jc w:val="center"/>
    </w:pPr>
    <w:r>
      <w:rPr>
        <w:b/>
        <w:bCs/>
        <w:sz w:val="32"/>
        <w:szCs w:val="32"/>
        <w:rtl/>
      </w:rPr>
      <w:t xml:space="preserve">בתי </w:t>
    </w:r>
    <w:r>
      <w:rPr>
        <w:b/>
        <w:bCs/>
        <w:sz w:val="32"/>
        <w:szCs w:val="32"/>
        <w:rtl/>
      </w:rPr>
      <w:t>המשפט</w:t>
    </w:r>
    <w:r>
      <w:rPr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rtl/>
      </w:rPr>
      <w:t xml:space="preserve"> </w:t>
    </w:r>
  </w:p>
  <w:p w:rsidR="00C15AB5" w:rsidRDefault="00EE1B91">
    <w:pPr>
      <w:spacing w:after="0" w:line="399" w:lineRule="auto"/>
      <w:ind w:left="0" w:right="1715" w:firstLine="0"/>
      <w:jc w:val="right"/>
    </w:pPr>
    <w:r>
      <w:rPr>
        <w:b/>
        <w:bCs/>
        <w:szCs w:val="28"/>
        <w:rtl/>
      </w:rPr>
      <w:t xml:space="preserve">ועדת הערעורים על פי חוק משפחות חיילים 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  <w:r>
      <w:rPr>
        <w:b/>
        <w:bCs/>
        <w:szCs w:val="28"/>
        <w:rtl/>
      </w:rPr>
      <w:tab/>
    </w:r>
    <w:proofErr w:type="spellStart"/>
    <w:r>
      <w:rPr>
        <w:b/>
        <w:bCs/>
        <w:szCs w:val="28"/>
        <w:rtl/>
      </w:rPr>
      <w:t>עמח</w:t>
    </w:r>
    <w:proofErr w:type="spellEnd"/>
    <w:r>
      <w:rPr>
        <w:b/>
        <w:bCs/>
        <w:szCs w:val="28"/>
        <w:rtl/>
      </w:rPr>
      <w:t xml:space="preserve"> </w:t>
    </w:r>
    <w:r>
      <w:rPr>
        <w:b/>
        <w:bCs/>
        <w:szCs w:val="28"/>
      </w:rPr>
      <w:t>96</w:t>
    </w:r>
    <w:r>
      <w:rPr>
        <w:b/>
        <w:bCs/>
        <w:szCs w:val="28"/>
        <w:rtl/>
      </w:rPr>
      <w:t>/</w:t>
    </w:r>
    <w:r>
      <w:rPr>
        <w:b/>
        <w:bCs/>
        <w:szCs w:val="28"/>
      </w:rPr>
      <w:t>8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  <w:r>
      <w:rPr>
        <w:b/>
        <w:bCs/>
        <w:szCs w:val="28"/>
        <w:rtl/>
      </w:rPr>
      <w:t>שנספו במערכה (תגמולים ושיקום) תש"י-</w:t>
    </w:r>
    <w:r>
      <w:rPr>
        <w:b/>
        <w:bCs/>
        <w:szCs w:val="28"/>
      </w:rPr>
      <w:t>1950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B5" w:rsidRDefault="00EE1B91">
    <w:pPr>
      <w:bidi w:val="0"/>
      <w:spacing w:after="707" w:line="259" w:lineRule="auto"/>
      <w:ind w:left="0" w:righ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C15AB5" w:rsidRDefault="00EE1B91">
    <w:pPr>
      <w:bidi w:val="0"/>
      <w:spacing w:after="98" w:line="259" w:lineRule="auto"/>
      <w:ind w:left="0" w:right="10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3627882</wp:posOffset>
          </wp:positionH>
          <wp:positionV relativeFrom="page">
            <wp:posOffset>719325</wp:posOffset>
          </wp:positionV>
          <wp:extent cx="435581" cy="451866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581" cy="45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   </w:t>
    </w:r>
  </w:p>
  <w:p w:rsidR="00C15AB5" w:rsidRDefault="00EE1B91">
    <w:pPr>
      <w:spacing w:after="193" w:line="259" w:lineRule="auto"/>
      <w:ind w:left="0" w:firstLine="0"/>
      <w:jc w:val="center"/>
    </w:pPr>
    <w:r>
      <w:rPr>
        <w:b/>
        <w:bCs/>
        <w:sz w:val="32"/>
        <w:szCs w:val="32"/>
        <w:rtl/>
      </w:rPr>
      <w:t>בתי המשפט</w:t>
    </w:r>
    <w:r>
      <w:rPr>
        <w:sz w:val="24"/>
        <w:szCs w:val="24"/>
        <w:rtl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rtl/>
      </w:rPr>
      <w:t xml:space="preserve"> </w:t>
    </w:r>
  </w:p>
  <w:p w:rsidR="00C15AB5" w:rsidRDefault="00EE1B91">
    <w:pPr>
      <w:spacing w:after="0" w:line="399" w:lineRule="auto"/>
      <w:ind w:left="0" w:right="1715" w:firstLine="0"/>
      <w:jc w:val="right"/>
    </w:pPr>
    <w:r>
      <w:rPr>
        <w:b/>
        <w:bCs/>
        <w:szCs w:val="28"/>
        <w:rtl/>
      </w:rPr>
      <w:t xml:space="preserve">ועדת הערעורים על פי חוק משפחות חיילים 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  <w:r>
      <w:rPr>
        <w:b/>
        <w:bCs/>
        <w:szCs w:val="28"/>
        <w:rtl/>
      </w:rPr>
      <w:tab/>
    </w:r>
    <w:proofErr w:type="spellStart"/>
    <w:r>
      <w:rPr>
        <w:b/>
        <w:bCs/>
        <w:szCs w:val="28"/>
        <w:rtl/>
      </w:rPr>
      <w:t>עמח</w:t>
    </w:r>
    <w:proofErr w:type="spellEnd"/>
    <w:r>
      <w:rPr>
        <w:b/>
        <w:bCs/>
        <w:szCs w:val="28"/>
        <w:rtl/>
      </w:rPr>
      <w:t xml:space="preserve"> </w:t>
    </w:r>
    <w:r>
      <w:rPr>
        <w:b/>
        <w:bCs/>
        <w:szCs w:val="28"/>
      </w:rPr>
      <w:t>96</w:t>
    </w:r>
    <w:r>
      <w:rPr>
        <w:b/>
        <w:bCs/>
        <w:szCs w:val="28"/>
        <w:rtl/>
      </w:rPr>
      <w:t>/</w:t>
    </w:r>
    <w:r>
      <w:rPr>
        <w:b/>
        <w:bCs/>
        <w:szCs w:val="28"/>
      </w:rPr>
      <w:t>8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  <w:r>
      <w:rPr>
        <w:b/>
        <w:bCs/>
        <w:szCs w:val="28"/>
        <w:rtl/>
      </w:rPr>
      <w:t>שנספו במערכה (תגמולים ושיקום) תש"י-</w:t>
    </w:r>
    <w:r>
      <w:rPr>
        <w:b/>
        <w:bCs/>
        <w:szCs w:val="28"/>
      </w:rPr>
      <w:t>1950</w:t>
    </w:r>
    <w:r>
      <w:rPr>
        <w:rFonts w:ascii="Times New Roman" w:eastAsia="Times New Roman" w:hAnsi="Times New Roman" w:cs="Times New Roman"/>
        <w:b/>
        <w:bCs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9F9"/>
    <w:multiLevelType w:val="hybridMultilevel"/>
    <w:tmpl w:val="F76CA716"/>
    <w:lvl w:ilvl="0" w:tplc="929CFFA8">
      <w:start w:val="4"/>
      <w:numFmt w:val="decimal"/>
      <w:lvlText w:val="%1."/>
      <w:lvlJc w:val="left"/>
      <w:pPr>
        <w:ind w:left="14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65FA0">
      <w:start w:val="1"/>
      <w:numFmt w:val="lowerLetter"/>
      <w:lvlText w:val="%2"/>
      <w:lvlJc w:val="left"/>
      <w:pPr>
        <w:ind w:left="17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ECF4C">
      <w:start w:val="1"/>
      <w:numFmt w:val="lowerRoman"/>
      <w:lvlText w:val="%3"/>
      <w:lvlJc w:val="left"/>
      <w:pPr>
        <w:ind w:left="25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6E6D8">
      <w:start w:val="1"/>
      <w:numFmt w:val="decimal"/>
      <w:lvlText w:val="%4"/>
      <w:lvlJc w:val="left"/>
      <w:pPr>
        <w:ind w:left="32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AD480">
      <w:start w:val="1"/>
      <w:numFmt w:val="lowerLetter"/>
      <w:lvlText w:val="%5"/>
      <w:lvlJc w:val="left"/>
      <w:pPr>
        <w:ind w:left="395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C1880">
      <w:start w:val="1"/>
      <w:numFmt w:val="lowerRoman"/>
      <w:lvlText w:val="%6"/>
      <w:lvlJc w:val="left"/>
      <w:pPr>
        <w:ind w:left="467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E5D68">
      <w:start w:val="1"/>
      <w:numFmt w:val="decimal"/>
      <w:lvlText w:val="%7"/>
      <w:lvlJc w:val="left"/>
      <w:pPr>
        <w:ind w:left="53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4118A">
      <w:start w:val="1"/>
      <w:numFmt w:val="lowerLetter"/>
      <w:lvlText w:val="%8"/>
      <w:lvlJc w:val="left"/>
      <w:pPr>
        <w:ind w:left="61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41248">
      <w:start w:val="1"/>
      <w:numFmt w:val="lowerRoman"/>
      <w:lvlText w:val="%9"/>
      <w:lvlJc w:val="left"/>
      <w:pPr>
        <w:ind w:left="68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96041"/>
    <w:multiLevelType w:val="hybridMultilevel"/>
    <w:tmpl w:val="AC8E3FF6"/>
    <w:lvl w:ilvl="0" w:tplc="1DB61A7C">
      <w:start w:val="1"/>
      <w:numFmt w:val="decimal"/>
      <w:lvlText w:val="%1"/>
      <w:lvlJc w:val="left"/>
      <w:pPr>
        <w:ind w:left="3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EF4A0">
      <w:start w:val="1"/>
      <w:numFmt w:val="lowerLetter"/>
      <w:lvlText w:val="%2"/>
      <w:lvlJc w:val="left"/>
      <w:pPr>
        <w:ind w:left="8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0FF20">
      <w:start w:val="1"/>
      <w:numFmt w:val="lowerRoman"/>
      <w:lvlText w:val="%3"/>
      <w:lvlJc w:val="left"/>
      <w:pPr>
        <w:ind w:left="13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69822">
      <w:start w:val="1"/>
      <w:numFmt w:val="decimal"/>
      <w:lvlRestart w:val="0"/>
      <w:lvlText w:val="(%4)"/>
      <w:lvlJc w:val="left"/>
      <w:pPr>
        <w:ind w:left="2147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07A70">
      <w:start w:val="1"/>
      <w:numFmt w:val="lowerLetter"/>
      <w:lvlText w:val="%5"/>
      <w:lvlJc w:val="left"/>
      <w:pPr>
        <w:ind w:left="25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ECFC2">
      <w:start w:val="1"/>
      <w:numFmt w:val="lowerRoman"/>
      <w:lvlText w:val="%6"/>
      <w:lvlJc w:val="left"/>
      <w:pPr>
        <w:ind w:left="32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45CDA">
      <w:start w:val="1"/>
      <w:numFmt w:val="decimal"/>
      <w:lvlText w:val="%7"/>
      <w:lvlJc w:val="left"/>
      <w:pPr>
        <w:ind w:left="395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0D370">
      <w:start w:val="1"/>
      <w:numFmt w:val="lowerLetter"/>
      <w:lvlText w:val="%8"/>
      <w:lvlJc w:val="left"/>
      <w:pPr>
        <w:ind w:left="467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477AA">
      <w:start w:val="1"/>
      <w:numFmt w:val="lowerRoman"/>
      <w:lvlText w:val="%9"/>
      <w:lvlJc w:val="left"/>
      <w:pPr>
        <w:ind w:left="53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F622D"/>
    <w:multiLevelType w:val="hybridMultilevel"/>
    <w:tmpl w:val="4B62623C"/>
    <w:lvl w:ilvl="0" w:tplc="00D65D28">
      <w:start w:val="5"/>
      <w:numFmt w:val="hebrew1"/>
      <w:lvlText w:val="%1."/>
      <w:lvlJc w:val="left"/>
      <w:pPr>
        <w:ind w:left="7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C4798">
      <w:start w:val="1"/>
      <w:numFmt w:val="decimal"/>
      <w:lvlText w:val="%2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46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00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2A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CF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49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8C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C5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972D9"/>
    <w:multiLevelType w:val="hybridMultilevel"/>
    <w:tmpl w:val="69485636"/>
    <w:lvl w:ilvl="0" w:tplc="E350FB26">
      <w:start w:val="1"/>
      <w:numFmt w:val="decimal"/>
      <w:lvlText w:val="%1"/>
      <w:lvlJc w:val="left"/>
      <w:pPr>
        <w:ind w:left="3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9B06">
      <w:start w:val="1"/>
      <w:numFmt w:val="lowerLetter"/>
      <w:lvlText w:val="%2"/>
      <w:lvlJc w:val="left"/>
      <w:pPr>
        <w:ind w:left="6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482B0">
      <w:start w:val="1"/>
      <w:numFmt w:val="lowerRoman"/>
      <w:lvlText w:val="%3"/>
      <w:lvlJc w:val="left"/>
      <w:pPr>
        <w:ind w:left="8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0BD24">
      <w:start w:val="1"/>
      <w:numFmt w:val="decimal"/>
      <w:lvlRestart w:val="0"/>
      <w:lvlText w:val="%4."/>
      <w:lvlJc w:val="left"/>
      <w:pPr>
        <w:ind w:left="1441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41742">
      <w:start w:val="1"/>
      <w:numFmt w:val="lowerLetter"/>
      <w:lvlText w:val="%5"/>
      <w:lvlJc w:val="left"/>
      <w:pPr>
        <w:ind w:left="18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FA42">
      <w:start w:val="1"/>
      <w:numFmt w:val="lowerRoman"/>
      <w:lvlText w:val="%6"/>
      <w:lvlJc w:val="left"/>
      <w:pPr>
        <w:ind w:left="25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AF734">
      <w:start w:val="1"/>
      <w:numFmt w:val="decimal"/>
      <w:lvlText w:val="%7"/>
      <w:lvlJc w:val="left"/>
      <w:pPr>
        <w:ind w:left="32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48364">
      <w:start w:val="1"/>
      <w:numFmt w:val="lowerLetter"/>
      <w:lvlText w:val="%8"/>
      <w:lvlJc w:val="left"/>
      <w:pPr>
        <w:ind w:left="39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28870">
      <w:start w:val="1"/>
      <w:numFmt w:val="lowerRoman"/>
      <w:lvlText w:val="%9"/>
      <w:lvlJc w:val="left"/>
      <w:pPr>
        <w:ind w:left="46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036904"/>
    <w:multiLevelType w:val="multilevel"/>
    <w:tmpl w:val="2214ADC6"/>
    <w:lvl w:ilvl="0">
      <w:start w:val="1"/>
      <w:numFmt w:val="decimal"/>
      <w:lvlText w:val="%1"/>
      <w:lvlJc w:val="left"/>
      <w:pPr>
        <w:ind w:left="3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47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BF5636"/>
    <w:multiLevelType w:val="hybridMultilevel"/>
    <w:tmpl w:val="375C193A"/>
    <w:lvl w:ilvl="0" w:tplc="04D24942">
      <w:start w:val="1"/>
      <w:numFmt w:val="decimal"/>
      <w:lvlText w:val="%1."/>
      <w:lvlJc w:val="left"/>
      <w:pPr>
        <w:ind w:left="75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EC84C">
      <w:start w:val="1"/>
      <w:numFmt w:val="lowerLetter"/>
      <w:lvlText w:val="%2"/>
      <w:lvlJc w:val="left"/>
      <w:pPr>
        <w:ind w:left="183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0ECAC">
      <w:start w:val="1"/>
      <w:numFmt w:val="lowerRoman"/>
      <w:lvlText w:val="%3"/>
      <w:lvlJc w:val="left"/>
      <w:pPr>
        <w:ind w:left="255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6B224">
      <w:start w:val="1"/>
      <w:numFmt w:val="decimal"/>
      <w:lvlText w:val="%4"/>
      <w:lvlJc w:val="left"/>
      <w:pPr>
        <w:ind w:left="327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E13A2">
      <w:start w:val="1"/>
      <w:numFmt w:val="lowerLetter"/>
      <w:lvlText w:val="%5"/>
      <w:lvlJc w:val="left"/>
      <w:pPr>
        <w:ind w:left="399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48AC6">
      <w:start w:val="1"/>
      <w:numFmt w:val="lowerRoman"/>
      <w:lvlText w:val="%6"/>
      <w:lvlJc w:val="left"/>
      <w:pPr>
        <w:ind w:left="471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BAABD6">
      <w:start w:val="1"/>
      <w:numFmt w:val="decimal"/>
      <w:lvlText w:val="%7"/>
      <w:lvlJc w:val="left"/>
      <w:pPr>
        <w:ind w:left="543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29792">
      <w:start w:val="1"/>
      <w:numFmt w:val="lowerLetter"/>
      <w:lvlText w:val="%8"/>
      <w:lvlJc w:val="left"/>
      <w:pPr>
        <w:ind w:left="615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E0FF8">
      <w:start w:val="1"/>
      <w:numFmt w:val="lowerRoman"/>
      <w:lvlText w:val="%9"/>
      <w:lvlJc w:val="left"/>
      <w:pPr>
        <w:ind w:left="6875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E613A"/>
    <w:multiLevelType w:val="hybridMultilevel"/>
    <w:tmpl w:val="6A9EC3CC"/>
    <w:lvl w:ilvl="0" w:tplc="14C88C0A">
      <w:start w:val="1"/>
      <w:numFmt w:val="decimal"/>
      <w:lvlText w:val="%1."/>
      <w:lvlJc w:val="left"/>
      <w:pPr>
        <w:ind w:left="1441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0F946">
      <w:start w:val="1"/>
      <w:numFmt w:val="lowerLetter"/>
      <w:lvlText w:val="%2"/>
      <w:lvlJc w:val="left"/>
      <w:pPr>
        <w:ind w:left="17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219F8">
      <w:start w:val="1"/>
      <w:numFmt w:val="lowerRoman"/>
      <w:lvlText w:val="%3"/>
      <w:lvlJc w:val="left"/>
      <w:pPr>
        <w:ind w:left="25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22B8A">
      <w:start w:val="1"/>
      <w:numFmt w:val="decimal"/>
      <w:lvlText w:val="%4"/>
      <w:lvlJc w:val="left"/>
      <w:pPr>
        <w:ind w:left="32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690A4">
      <w:start w:val="1"/>
      <w:numFmt w:val="lowerLetter"/>
      <w:lvlText w:val="%5"/>
      <w:lvlJc w:val="left"/>
      <w:pPr>
        <w:ind w:left="395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0912">
      <w:start w:val="1"/>
      <w:numFmt w:val="lowerRoman"/>
      <w:lvlText w:val="%6"/>
      <w:lvlJc w:val="left"/>
      <w:pPr>
        <w:ind w:left="467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A705E">
      <w:start w:val="1"/>
      <w:numFmt w:val="decimal"/>
      <w:lvlText w:val="%7"/>
      <w:lvlJc w:val="left"/>
      <w:pPr>
        <w:ind w:left="53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585E94">
      <w:start w:val="1"/>
      <w:numFmt w:val="lowerLetter"/>
      <w:lvlText w:val="%8"/>
      <w:lvlJc w:val="left"/>
      <w:pPr>
        <w:ind w:left="61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23EFC">
      <w:start w:val="1"/>
      <w:numFmt w:val="lowerRoman"/>
      <w:lvlText w:val="%9"/>
      <w:lvlJc w:val="left"/>
      <w:pPr>
        <w:ind w:left="68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2A7501"/>
    <w:multiLevelType w:val="hybridMultilevel"/>
    <w:tmpl w:val="E8AE2088"/>
    <w:lvl w:ilvl="0" w:tplc="59AA2370">
      <w:start w:val="1"/>
      <w:numFmt w:val="hebrew1"/>
      <w:lvlText w:val="%1."/>
      <w:lvlJc w:val="left"/>
      <w:pPr>
        <w:ind w:left="7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AEE62">
      <w:start w:val="1"/>
      <w:numFmt w:val="lowerLetter"/>
      <w:lvlText w:val="%2"/>
      <w:lvlJc w:val="left"/>
      <w:pPr>
        <w:ind w:left="12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49C8C">
      <w:start w:val="1"/>
      <w:numFmt w:val="lowerRoman"/>
      <w:lvlText w:val="%3"/>
      <w:lvlJc w:val="left"/>
      <w:pPr>
        <w:ind w:left="19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C13F4">
      <w:start w:val="1"/>
      <w:numFmt w:val="decimal"/>
      <w:lvlText w:val="%4"/>
      <w:lvlJc w:val="left"/>
      <w:pPr>
        <w:ind w:left="26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4BD6A">
      <w:start w:val="1"/>
      <w:numFmt w:val="lowerLetter"/>
      <w:lvlText w:val="%5"/>
      <w:lvlJc w:val="left"/>
      <w:pPr>
        <w:ind w:left="33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617E0">
      <w:start w:val="1"/>
      <w:numFmt w:val="lowerRoman"/>
      <w:lvlText w:val="%6"/>
      <w:lvlJc w:val="left"/>
      <w:pPr>
        <w:ind w:left="40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C4D28">
      <w:start w:val="1"/>
      <w:numFmt w:val="decimal"/>
      <w:lvlText w:val="%7"/>
      <w:lvlJc w:val="left"/>
      <w:pPr>
        <w:ind w:left="48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44D78">
      <w:start w:val="1"/>
      <w:numFmt w:val="lowerLetter"/>
      <w:lvlText w:val="%8"/>
      <w:lvlJc w:val="left"/>
      <w:pPr>
        <w:ind w:left="55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2D996">
      <w:start w:val="1"/>
      <w:numFmt w:val="lowerRoman"/>
      <w:lvlText w:val="%9"/>
      <w:lvlJc w:val="left"/>
      <w:pPr>
        <w:ind w:left="624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2571AA"/>
    <w:multiLevelType w:val="hybridMultilevel"/>
    <w:tmpl w:val="CFEC2076"/>
    <w:lvl w:ilvl="0" w:tplc="94168B7A">
      <w:start w:val="7"/>
      <w:numFmt w:val="decimal"/>
      <w:lvlText w:val="%1."/>
      <w:lvlJc w:val="left"/>
      <w:pPr>
        <w:ind w:left="1441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E90B8">
      <w:start w:val="1"/>
      <w:numFmt w:val="lowerLetter"/>
      <w:lvlText w:val="%2"/>
      <w:lvlJc w:val="left"/>
      <w:pPr>
        <w:ind w:left="17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09E20">
      <w:start w:val="1"/>
      <w:numFmt w:val="lowerRoman"/>
      <w:lvlText w:val="%3"/>
      <w:lvlJc w:val="left"/>
      <w:pPr>
        <w:ind w:left="25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E2D6C">
      <w:start w:val="1"/>
      <w:numFmt w:val="decimal"/>
      <w:lvlText w:val="%4"/>
      <w:lvlJc w:val="left"/>
      <w:pPr>
        <w:ind w:left="32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0158E">
      <w:start w:val="1"/>
      <w:numFmt w:val="lowerLetter"/>
      <w:lvlText w:val="%5"/>
      <w:lvlJc w:val="left"/>
      <w:pPr>
        <w:ind w:left="395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EEF2C">
      <w:start w:val="1"/>
      <w:numFmt w:val="lowerRoman"/>
      <w:lvlText w:val="%6"/>
      <w:lvlJc w:val="left"/>
      <w:pPr>
        <w:ind w:left="467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8A148">
      <w:start w:val="1"/>
      <w:numFmt w:val="decimal"/>
      <w:lvlText w:val="%7"/>
      <w:lvlJc w:val="left"/>
      <w:pPr>
        <w:ind w:left="539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92C622">
      <w:start w:val="1"/>
      <w:numFmt w:val="lowerLetter"/>
      <w:lvlText w:val="%8"/>
      <w:lvlJc w:val="left"/>
      <w:pPr>
        <w:ind w:left="611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61350">
      <w:start w:val="1"/>
      <w:numFmt w:val="lowerRoman"/>
      <w:lvlText w:val="%9"/>
      <w:lvlJc w:val="left"/>
      <w:pPr>
        <w:ind w:left="6839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4D7828"/>
    <w:multiLevelType w:val="hybridMultilevel"/>
    <w:tmpl w:val="B9162F02"/>
    <w:lvl w:ilvl="0" w:tplc="DC543CEE">
      <w:start w:val="1"/>
      <w:numFmt w:val="decimal"/>
      <w:lvlText w:val="%1"/>
      <w:lvlJc w:val="left"/>
      <w:pPr>
        <w:ind w:left="3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A5040">
      <w:start w:val="1"/>
      <w:numFmt w:val="lowerLetter"/>
      <w:lvlText w:val="%2"/>
      <w:lvlJc w:val="left"/>
      <w:pPr>
        <w:ind w:left="63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8141A">
      <w:start w:val="1"/>
      <w:numFmt w:val="lowerRoman"/>
      <w:lvlText w:val="%3"/>
      <w:lvlJc w:val="left"/>
      <w:pPr>
        <w:ind w:left="9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AE898">
      <w:start w:val="1"/>
      <w:numFmt w:val="decimal"/>
      <w:lvlText w:val="%4"/>
      <w:lvlJc w:val="left"/>
      <w:pPr>
        <w:ind w:left="117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48C2">
      <w:start w:val="1"/>
      <w:numFmt w:val="decimal"/>
      <w:lvlRestart w:val="0"/>
      <w:lvlText w:val="%5."/>
      <w:lvlJc w:val="left"/>
      <w:pPr>
        <w:ind w:left="1441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6A882">
      <w:start w:val="1"/>
      <w:numFmt w:val="lowerRoman"/>
      <w:lvlText w:val="%6"/>
      <w:lvlJc w:val="left"/>
      <w:pPr>
        <w:ind w:left="216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073AC">
      <w:start w:val="1"/>
      <w:numFmt w:val="decimal"/>
      <w:lvlText w:val="%7"/>
      <w:lvlJc w:val="left"/>
      <w:pPr>
        <w:ind w:left="288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E8D74">
      <w:start w:val="1"/>
      <w:numFmt w:val="lowerLetter"/>
      <w:lvlText w:val="%8"/>
      <w:lvlJc w:val="left"/>
      <w:pPr>
        <w:ind w:left="360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C3E6E">
      <w:start w:val="1"/>
      <w:numFmt w:val="lowerRoman"/>
      <w:lvlText w:val="%9"/>
      <w:lvlJc w:val="left"/>
      <w:pPr>
        <w:ind w:left="432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5"/>
    <w:rsid w:val="006D3695"/>
    <w:rsid w:val="00B36D88"/>
    <w:rsid w:val="00C15AB5"/>
    <w:rsid w:val="00E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28E92-DA74-416E-A6F2-5B369BC3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36" w:line="372" w:lineRule="auto"/>
      <w:ind w:left="7" w:hanging="7"/>
      <w:jc w:val="both"/>
    </w:pPr>
    <w:rPr>
      <w:rFonts w:ascii="David" w:eastAsia="David" w:hAnsi="David" w:cs="David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3908</Words>
  <Characters>19542</Characters>
  <Application>Microsoft Office Word</Application>
  <DocSecurity>0</DocSecurity>
  <Lines>162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Microsoft Word - 27A721675CB17BFC42256F63004958EB.Doc</vt:lpstr>
    </vt:vector>
  </TitlesOfParts>
  <Company/>
  <LinksUpToDate>false</LinksUpToDate>
  <CharactersWithSpaces>23404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- 27A721675CB17BFC42256F63004958EB.Doc</dc:title>
  <dc:subject/>
  <dc:creator>Administrator</dc:creator>
  <cp:keywords/>
  <cp:lastModifiedBy>user1</cp:lastModifiedBy>
  <cp:revision>2</cp:revision>
  <dcterms:created xsi:type="dcterms:W3CDTF">2020-12-22T14:04:00Z</dcterms:created>
  <dcterms:modified xsi:type="dcterms:W3CDTF">2020-12-22T14:04:00Z</dcterms:modified>
</cp:coreProperties>
</file>